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4.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header2.xml" ContentType="application/vnd.openxmlformats-officedocument.wordprocessingml.header+xml"/>
  <Override PartName="/word/header6.xml" ContentType="application/vnd.openxmlformats-officedocument.wordprocessingml.header+xml"/>
  <Override PartName="/word/header3.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8" w:name="переработанные-прозаические-разделы-вкр"/>
    <w:p>
      <w:pPr>
        <w:pStyle w:val="1"/>
      </w:pPr>
      <w:r>
        <w:t xml:space="preserve">ПЕРЕРАБОТАННЫЕ ПРОЗАИЧЕСКИЕ РАЗДЕЛЫ ВКР</w:t>
      </w:r>
    </w:p>
    <w:bookmarkEnd w:id="178"/>
    <w:bookmarkStart w:id="206" w:name="X914019df64f8f9b885760a6ae99fff69b501d92"/>
    <w:p>
      <w:pPr>
        <w:pStyle w:val="1"/>
      </w:pPr>
      <w:r>
        <w:t xml:space="preserve">(таблицы, формулы, Приложение А — без изменений)</w:t>
      </w:r>
    </w:p>
    <w:p>
      <w:r>
        <w:pict>
          <v:rect style="width:0;height:1.5pt" o:hralign="center" o:hrstd="t" o:hr="t"/>
        </w:pict>
      </w:r>
    </w:p>
    <w:bookmarkStart w:id="179" w:name="введение"/>
    <w:p>
      <w:pPr>
        <w:pStyle w:val="2"/>
      </w:pPr>
      <w:r>
        <w:t xml:space="preserve">ВВЕДЕНИЕ</w:t>
      </w:r>
    </w:p>
    <w:p>
      <w:pPr>
        <w:pStyle w:val="FirstParagraph"/>
      </w:pPr>
      <w:r>
        <w:t xml:space="preserve">Фермы из легких стальных тонкостенных конструкций (ЛСТК) применяются как кровельные и пролётные несущие системы в промышленном и гражданском строительстве. Расход стали на каркас составляет 25–50 кг/м², монтаж ведётся без кранового оборудования, строительство возможно круглый год. Эти свойства обусловили широкое применение технологии в Европе и Северной Америке.</w:t>
      </w:r>
    </w:p>
    <w:p>
      <w:pPr>
        <w:pStyle w:val="BodyText"/>
      </w:pPr>
      <w:r>
        <w:t xml:space="preserve">В России положение иное. Нормативная база — СНиП II-23-81* и СП 53-102-2004 — содержит ограничения по соотношению линейных размеров к толщине профиля, которые тонкостенные гнутые профили не выполняют по определению. Методики расчёта болтовых соединений для горячекатаного металла дают некорректные результаты при толщине профиля 1,5–2 мм. Исследований поведения фермы из ЛСТК как единой конструкции в открытой печати практически нет: авторы ограничиваются анализом узлов.</w:t>
      </w:r>
    </w:p>
    <w:p>
      <w:pPr>
        <w:pStyle w:val="BodyText"/>
      </w:pPr>
      <w:r>
        <w:t xml:space="preserve">Болтовые соединения — единственный допустимый способ стыковки в ЛСТК: сварка оцинкованных тонкостенных профилей не применяется. При этом расчёт несущей способности таких соединений по действующим нормам систематически расходится с экспериментом, что подтверждается в том числе результатами настоящей работы.</w:t>
      </w:r>
    </w:p>
    <w:p>
      <w:pPr>
        <w:pStyle w:val="BodyText"/>
      </w:pPr>
      <w:r>
        <w:t xml:space="preserve">Данная работа устраняет часть этих пробелов. Объект исследования — ферма из ЛСТК пролётом 2×18 метров. Расчёт выполнен в объёмной конечно-элементной постановке (ANSYS), проведены натурные испытания болтовых соединений, результаты объёмной и стержневой моделей сопоставлены, разработано и рассчитано модифицированное конструктивное решение.</w:t>
      </w:r>
    </w:p>
    <w:p>
      <w:pPr>
        <w:pStyle w:val="BlockText"/>
      </w:pPr>
      <w:r>
        <w:rPr>
          <w:u w:val="single"/>
        </w:rPr>
        <w:t xml:space="preserve">Актуальность темы:</w:t>
      </w:r>
    </w:p>
    <w:p>
      <w:pPr>
        <w:pStyle w:val="BlockText"/>
      </w:pPr>
      <w:r>
        <w:t xml:space="preserve">Расчётных моделей для ферм из ЛСТК в отечественной нормативной базе недостаточно. Авторы публикаций, как правило, рассматривают отдельные узлы, а работа конструкции в целом остаётся неизученной. Стержневая модель не выявляет концентрацию напряжений в узловых зонах и не учитывает реальное защемление стержней — оба фактора существенно влияют на НДС и несущую способность.</w:t>
      </w:r>
    </w:p>
    <w:p>
      <w:pPr>
        <w:pStyle w:val="BlockText"/>
      </w:pPr>
      <w:r>
        <w:t xml:space="preserve">Теоретическую базу для расчёта тонкостенных конструкций заложили Тимошенко С.П., Власов В.З., Белый Г.И., Перельмутер А.В., Сливкер В.И., Бычков Д.В. Практические расчётные методики и нормативное регулирование сложились преимущественно за рубежом — в DIN 18800 и Еврокоде 3. В России ЛСТК по-прежнему остаются на периферии нормативной базы.</w:t>
      </w:r>
    </w:p>
    <w:p>
      <w:pPr>
        <w:pStyle w:val="BlockText"/>
      </w:pPr>
      <w:r>
        <w:rPr>
          <w:u w:val="single"/>
        </w:rPr>
        <w:t xml:space="preserve">Цель работы</w:t>
      </w:r>
      <w:r>
        <w:t xml:space="preserve">: исследовать конструктивные решения и устранить ряд существующих недостатков фермы из ЛСТК.</w:t>
      </w:r>
    </w:p>
    <w:p>
      <w:pPr>
        <w:pStyle w:val="BlockText"/>
      </w:pPr>
      <w:r>
        <w:rPr>
          <w:u w:val="single"/>
        </w:rPr>
        <w:t xml:space="preserve">В задачи исследования входит</w:t>
      </w:r>
      <w:r>
        <w:t xml:space="preserve">:</w:t>
      </w:r>
    </w:p>
    <w:p>
      <w:pPr>
        <w:numPr>
          <w:ilvl w:val="0"/>
          <w:numId w:val="1001"/>
        </w:numPr>
      </w:pPr>
      <w:r>
        <w:t xml:space="preserve">Анализ состояния вопроса в отечественных и зарубежных нормах.</w:t>
      </w:r>
    </w:p>
    <w:p>
      <w:pPr>
        <w:numPr>
          <w:ilvl w:val="0"/>
          <w:numId w:val="1001"/>
        </w:numPr>
      </w:pPr>
      <w:r>
        <w:t xml:space="preserve">С помощью метода конечных элементов в объёмной постановке исследовать работу конструкции на статическую прочность и устойчивость.</w:t>
      </w:r>
    </w:p>
    <w:p>
      <w:pPr>
        <w:numPr>
          <w:ilvl w:val="0"/>
          <w:numId w:val="1001"/>
        </w:numPr>
      </w:pPr>
      <w:r>
        <w:t xml:space="preserve">Проверить сходимость результатов расчёта объёмной и стержневой моделей.</w:t>
      </w:r>
    </w:p>
    <w:p>
      <w:pPr>
        <w:numPr>
          <w:ilvl w:val="0"/>
          <w:numId w:val="1001"/>
        </w:numPr>
      </w:pPr>
      <w:r>
        <w:t xml:space="preserve">Экспериментально проверить нормативные рекомендации для расчёта болтовых соединений при тонкостенных (1,5–2 мм) профилях.</w:t>
      </w:r>
    </w:p>
    <w:p>
      <w:pPr>
        <w:pStyle w:val="BlockText"/>
      </w:pPr>
      <w:r>
        <w:rPr>
          <w:u w:val="single"/>
        </w:rPr>
        <w:t xml:space="preserve">Объект исследования</w:t>
      </w:r>
      <w:r>
        <w:t xml:space="preserve"> </w:t>
      </w:r>
      <w:r>
        <w:t xml:space="preserve">— легкие стальные тонкостенные конструкции.</w:t>
      </w:r>
    </w:p>
    <w:p>
      <w:pPr>
        <w:pStyle w:val="BlockText"/>
      </w:pPr>
      <w:r>
        <w:rPr>
          <w:u w:val="single"/>
        </w:rPr>
        <w:t xml:space="preserve">Предметом исследования</w:t>
      </w:r>
      <w:r>
        <w:t xml:space="preserve"> </w:t>
      </w:r>
      <w:r>
        <w:t xml:space="preserve">является ферма из ЛСТК.</w:t>
      </w:r>
    </w:p>
    <w:p>
      <w:pPr>
        <w:pStyle w:val="BlockText"/>
      </w:pPr>
      <w:r>
        <w:rPr>
          <w:u w:val="single"/>
        </w:rPr>
        <w:t xml:space="preserve">Практическая значимость:</w:t>
      </w:r>
      <w:r>
        <w:t xml:space="preserve"> </w:t>
      </w:r>
      <w:r>
        <w:t xml:space="preserve">Результаты работы применимы при прочностном анализе аналогичных конструкций. Обозначены перспективные направления дальнейших исследований.</w:t>
      </w:r>
    </w:p>
    <w:p>
      <w:pPr>
        <w:pStyle w:val="BlockText"/>
      </w:pPr>
      <w:r>
        <w:rPr>
          <w:u w:val="single"/>
        </w:rPr>
        <w:t xml:space="preserve">Структура и объём работы.</w:t>
      </w:r>
    </w:p>
    <w:p>
      <w:pPr>
        <w:pStyle w:val="BlockText"/>
      </w:pPr>
      <w:r>
        <w:t xml:space="preserve">Диссертация состоит из введения, трёх глав и заключения, изложенных на 78 страницах машинописного текста. Библиографический список содержит 42 наименования.</w:t>
      </w:r>
    </w:p>
    <w:p>
      <w:pPr>
        <w:pStyle w:val="BlockText"/>
      </w:pPr>
      <w:r>
        <w:t xml:space="preserve">Во введении обоснована актуальность темы, определены объект исследования, цели и задачи.</w:t>
      </w:r>
    </w:p>
    <w:p>
      <w:pPr>
        <w:pStyle w:val="BlockText"/>
      </w:pPr>
      <w:r>
        <w:t xml:space="preserve">В первой главе рассмотрены достоинства и недостатки ЛСТК, область их применения, состояние вопроса в отечественных и зарубежных нормах, кривые предельного загружения, критическая нагрузка и расчёт в стержневой постановке.</w:t>
      </w:r>
    </w:p>
    <w:p>
      <w:pPr>
        <w:pStyle w:val="BlockText"/>
      </w:pPr>
      <w:r>
        <w:t xml:space="preserve">Вторая глава содержит численное моделирование образца для эксперимента, натурные испытания болтовых соединений с анализом результатов, статический расчёт фермы с помощью объёмных конечных элементов.</w:t>
      </w:r>
    </w:p>
    <w:p>
      <w:pPr>
        <w:pStyle w:val="BlockText"/>
      </w:pPr>
      <w:r>
        <w:t xml:space="preserve">В третьей главе выполнено численное моделирование фермы на устойчивость и расчёт модифицированной фермы: деформации, НДС, устойчивость. Результаты сопоставлены с расчётом стержневой модели. Проведён сравнительный анализ стоимости.</w:t>
      </w:r>
    </w:p>
    <w:p>
      <w:pPr>
        <w:pStyle w:val="BlockText"/>
      </w:pPr>
      <w:r>
        <w:t xml:space="preserve">В заключении изложены основные выводы теоретического и практического характера.</w:t>
      </w:r>
    </w:p>
    <w:p>
      <w:r>
        <w:pict>
          <v:rect style="width:0;height:1.5pt" o:hralign="center" o:hrstd="t" o:hr="t"/>
        </w:pict>
      </w:r>
    </w:p>
    <w:bookmarkEnd w:id="179"/>
    <w:bookmarkStart w:id="189" w:name="глава-1.-обзор-состояния-вопроса"/>
    <w:p>
      <w:pPr>
        <w:pStyle w:val="2"/>
      </w:pPr>
      <w:r>
        <w:t xml:space="preserve">Глава 1. Обзор состояния вопроса</w:t>
      </w:r>
    </w:p>
    <w:bookmarkStart w:id="180" w:name="описание-технологии-лстк"/>
    <w:p>
      <w:pPr>
        <w:pStyle w:val="3"/>
      </w:pPr>
      <w:r>
        <w:t xml:space="preserve">1.1. Описание технологии ЛСТК</w:t>
      </w:r>
    </w:p>
    <w:p>
      <w:pPr>
        <w:pStyle w:val="BlockText"/>
      </w:pPr>
      <w:r>
        <w:t xml:space="preserve">ЛСТК входят в класс легких металлических конструкций (ЛМК). Технологию отличают малая металлоёмкость, высокая заводская готовность, приспособленность к поточному автоматизированному производству и скоростным методам монтажа, возможность комплектной поставки здания-модуля целиком. Основной конструктивный элемент — тонкостенный холодногнутый оцинкованный профиль.</w:t>
      </w:r>
    </w:p>
    <w:p>
      <w:pPr>
        <w:pStyle w:val="BlockText"/>
      </w:pPr>
      <w:r>
        <w:t xml:space="preserve">Основные отличия ЛСТК от традиционных металлоконструкций:</w:t>
      </w:r>
    </w:p>
    <w:p>
      <w:pPr>
        <w:numPr>
          <w:ilvl w:val="0"/>
          <w:numId w:val="1002"/>
        </w:numPr>
      </w:pPr>
      <w:r>
        <w:t xml:space="preserve">Применение холодноформованных профилей из тонкого листового проката толщиной до 4 мм;</w:t>
      </w:r>
    </w:p>
    <w:p>
      <w:pPr>
        <w:numPr>
          <w:ilvl w:val="0"/>
          <w:numId w:val="1002"/>
        </w:numPr>
      </w:pPr>
      <w:r>
        <w:t xml:space="preserve">Разнообразие форм сечений стержней (в том числе круглые, квадратные, замкнутые и открытые);</w:t>
      </w:r>
    </w:p>
    <w:p>
      <w:pPr>
        <w:numPr>
          <w:ilvl w:val="0"/>
          <w:numId w:val="1002"/>
        </w:numPr>
      </w:pPr>
      <w:r>
        <w:t xml:space="preserve">Принципы выполнения соединений;</w:t>
      </w:r>
    </w:p>
    <w:p>
      <w:pPr>
        <w:numPr>
          <w:ilvl w:val="0"/>
          <w:numId w:val="1002"/>
        </w:numPr>
      </w:pPr>
      <w:r>
        <w:t xml:space="preserve">Особенности расчёта и конструирования, связанные с малой толщиной профиля.</w:t>
      </w:r>
    </w:p>
    <w:p>
      <w:pPr>
        <w:pStyle w:val="BlockText"/>
      </w:pPr>
      <w:r>
        <w:t xml:space="preserve">ЛСТК применяются в каркасных зданиях и сооружениях различного назначения.</w:t>
      </w:r>
    </w:p>
    <w:p>
      <w:pPr>
        <w:numPr>
          <w:ilvl w:val="0"/>
          <w:numId w:val="1003"/>
        </w:numPr>
      </w:pPr>
      <w:r>
        <w:t xml:space="preserve">Жилые здания (одно- и многоэтажные до 3-х этажей, в т.ч. многоквартирные, мансарды, коттеджи, дачные домики и т.п.);</w:t>
      </w:r>
    </w:p>
    <w:p>
      <w:pPr>
        <w:numPr>
          <w:ilvl w:val="0"/>
          <w:numId w:val="1003"/>
        </w:numPr>
      </w:pPr>
      <w:r>
        <w:t xml:space="preserve">Общественные здания и сооружения (административные и торгово-бытовые здания, общежития, гостиницы, кафе, рестораны, мансарды, офисы, торгово-выставочные павильоны, автомастерские, АЗС, казармы, гаражи, бытовки, навесы и т.п.);</w:t>
      </w:r>
    </w:p>
    <w:p>
      <w:pPr>
        <w:numPr>
          <w:ilvl w:val="0"/>
          <w:numId w:val="1003"/>
        </w:numPr>
      </w:pPr>
      <w:r>
        <w:t xml:space="preserve">Производственные и сельскохозяйственные здания (склады, ангары, производственные цеха, фермы, овощехранилища, оранжереи, теплицы и т.п.).</w:t>
      </w:r>
    </w:p>
    <w:p>
      <w:pPr>
        <w:pStyle w:val="BlockText"/>
      </w:pPr>
      <w:r>
        <w:t xml:space="preserve">При реконструкции зданий ЛСТК особенно эффективны: они снижают нагрузки на существующие конструкции, позволяют работать без выселения жильцов и в стеснённых условиях. Доставка возможна любым видом транспорта, работы ведутся в любое время года.</w:t>
      </w:r>
    </w:p>
    <w:p>
      <w:pPr>
        <w:pStyle w:val="BlockText"/>
      </w:pPr>
      <w:r>
        <w:t xml:space="preserve">Использование ЛСТК в качестве стеновых и кровельных прогонов за рубежом является стандартной практикой. Максимальная эффективность при пролётах до 10 м достигается за счёт неразрезности и нахлёста прогонов. Нахлёст — двойная толщина листа — устраивается в зонах максимальных изгибающих моментов, то есть на опорах неразрезной балки, что даёт максимальную экономию стали. Для нахлёста используются Z-образные профили.</w:t>
      </w:r>
    </w:p>
    <w:p>
      <w:pPr>
        <w:pStyle w:val="BlockText"/>
      </w:pPr>
      <w:r>
        <w:t xml:space="preserve">По конструктивному признаку ЛСТК используются в качестве:</w:t>
      </w:r>
    </w:p>
    <w:p>
      <w:pPr>
        <w:numPr>
          <w:ilvl w:val="0"/>
          <w:numId w:val="1004"/>
        </w:numPr>
      </w:pPr>
      <w:r>
        <w:t xml:space="preserve">Каркасов ограждающих конструкций;</w:t>
      </w:r>
    </w:p>
    <w:p>
      <w:pPr>
        <w:numPr>
          <w:ilvl w:val="0"/>
          <w:numId w:val="1004"/>
        </w:numPr>
      </w:pPr>
      <w:r>
        <w:t xml:space="preserve">Несущих конструкций (в том числе совмещающих функции ограждающих).</w:t>
      </w:r>
    </w:p>
    <w:p>
      <w:pPr>
        <w:pStyle w:val="BlockText"/>
      </w:pPr>
      <w:r>
        <w:t xml:space="preserve">Преимущества ЛСТК по сравнению с традиционными кирпичными, железобетонными, деревянными и стальными конструкциями из горячекатаного металла:</w:t>
      </w:r>
    </w:p>
    <w:p>
      <w:pPr>
        <w:numPr>
          <w:ilvl w:val="0"/>
          <w:numId w:val="1005"/>
        </w:numPr>
      </w:pPr>
      <w:r>
        <w:t xml:space="preserve">Лёгкость в сочетании с прочностью и устойчивостью; снижение нагрузок от собственного веса. Расход стали на каркас — в среднем 25–50 кг/м²;</w:t>
      </w:r>
    </w:p>
    <w:p>
      <w:pPr>
        <w:numPr>
          <w:ilvl w:val="0"/>
          <w:numId w:val="1005"/>
        </w:numPr>
      </w:pPr>
      <w:r>
        <w:t xml:space="preserve">Малая минимальная площадь сечения позволяет эффективно использовать ЛСТК при малых нагрузках на стержни;</w:t>
      </w:r>
    </w:p>
    <w:p>
      <w:pPr>
        <w:numPr>
          <w:ilvl w:val="0"/>
          <w:numId w:val="1005"/>
        </w:numPr>
      </w:pPr>
      <w:r>
        <w:t xml:space="preserve">Повышенная сейсмостойкость. Здания с несущим каркасом из ЛСТК выдерживают сейсмические нагрузки до 9 баллов по шкале Рихтера за счёт пластичности стального каркаса;</w:t>
      </w:r>
    </w:p>
    <w:p>
      <w:pPr>
        <w:numPr>
          <w:ilvl w:val="0"/>
          <w:numId w:val="1005"/>
        </w:numPr>
      </w:pPr>
      <w:r>
        <w:t xml:space="preserve">Снижение транспортных расходов за счёт малой массы и упакованной доставки. Возможна доставка полного комплекта конструкций любым видом транспорта;</w:t>
      </w:r>
    </w:p>
    <w:p>
      <w:pPr>
        <w:numPr>
          <w:ilvl w:val="0"/>
          <w:numId w:val="1005"/>
        </w:numPr>
      </w:pPr>
      <w:r>
        <w:t xml:space="preserve">Уменьшение трудозатрат и энергопотребления при монтаже;</w:t>
      </w:r>
    </w:p>
    <w:p>
      <w:pPr>
        <w:numPr>
          <w:ilvl w:val="0"/>
          <w:numId w:val="1005"/>
        </w:numPr>
      </w:pPr>
      <w:r>
        <w:t xml:space="preserve">Сокращение сроков строительства за счёт снижения времени на проектирование, изготовление, доставку и монтаж;</w:t>
      </w:r>
    </w:p>
    <w:p>
      <w:pPr>
        <w:numPr>
          <w:ilvl w:val="0"/>
          <w:numId w:val="1005"/>
        </w:numPr>
      </w:pPr>
      <w:r>
        <w:t xml:space="preserve">Минимальное использование кранов и грузоподъёмных механизмов; монтаж в стеснённых условиях. Монтаж ведётся ручным инструментом. Например, стропильная ферма системы «СТАЛДОМ»® из ЛСТК пролётом 9 м весит 87 кг и не требует кранового оборудования;</w:t>
      </w:r>
    </w:p>
    <w:p>
      <w:pPr>
        <w:numPr>
          <w:ilvl w:val="0"/>
          <w:numId w:val="1005"/>
        </w:numPr>
      </w:pPr>
      <w:r>
        <w:t xml:space="preserve">Практическое отсутствие «мокрых» процессов, строительство в любое время года и при любых климатических условиях;</w:t>
      </w:r>
    </w:p>
    <w:p>
      <w:pPr>
        <w:numPr>
          <w:ilvl w:val="0"/>
          <w:numId w:val="1005"/>
        </w:numPr>
      </w:pPr>
      <w:r>
        <w:t xml:space="preserve">Совместимость с любыми современными отделочными материалами. Поверхности стен и перекрытий не требуют дополнительного выравнивания;</w:t>
      </w:r>
    </w:p>
    <w:p>
      <w:pPr>
        <w:numPr>
          <w:ilvl w:val="0"/>
          <w:numId w:val="1005"/>
        </w:numPr>
      </w:pPr>
      <w:r>
        <w:t xml:space="preserve">Использование эффективных теплоизоляционных материалов в наружных ограждениях. Утеплитель толщиной 150 мм по теплофизическим характеристикам соответствует кирпичной стене толщиной 1000 мм;</w:t>
      </w:r>
    </w:p>
    <w:p>
      <w:pPr>
        <w:numPr>
          <w:ilvl w:val="0"/>
          <w:numId w:val="1005"/>
        </w:numPr>
      </w:pPr>
      <w:r>
        <w:t xml:space="preserve">Свободная планировка внутренних помещений;</w:t>
      </w:r>
    </w:p>
    <w:p>
      <w:pPr>
        <w:numPr>
          <w:ilvl w:val="0"/>
          <w:numId w:val="1005"/>
        </w:numPr>
      </w:pPr>
      <w:r>
        <w:t xml:space="preserve">Комплектность поставки «под ключ», включая оконные и дверные переплёты, сантехническое оборудование и т.п.;</w:t>
      </w:r>
    </w:p>
    <w:p>
      <w:pPr>
        <w:numPr>
          <w:ilvl w:val="0"/>
          <w:numId w:val="1005"/>
        </w:numPr>
      </w:pPr>
      <w:r>
        <w:t xml:space="preserve">Не требует фундаментов глубиной 1,5–2,0 м. Достаточен фундамент мелкого заложения (монолитная плита) или буронабивные сваи;</w:t>
      </w:r>
    </w:p>
    <w:p>
      <w:pPr>
        <w:numPr>
          <w:ilvl w:val="0"/>
          <w:numId w:val="1005"/>
        </w:numPr>
      </w:pPr>
      <w:r>
        <w:t xml:space="preserve">Унификация конструкций и узлов сопряжений;</w:t>
      </w:r>
    </w:p>
    <w:p>
      <w:pPr>
        <w:numPr>
          <w:ilvl w:val="0"/>
          <w:numId w:val="1005"/>
        </w:numPr>
      </w:pPr>
      <w:r>
        <w:t xml:space="preserve">Размещение коммуникаций внутри каркасных стен и перекрытий;</w:t>
      </w:r>
    </w:p>
    <w:p>
      <w:pPr>
        <w:numPr>
          <w:ilvl w:val="0"/>
          <w:numId w:val="1005"/>
        </w:numPr>
      </w:pPr>
      <w:r>
        <w:t xml:space="preserve">Эстетичный внешний вид;</w:t>
      </w:r>
    </w:p>
    <w:p>
      <w:pPr>
        <w:numPr>
          <w:ilvl w:val="0"/>
          <w:numId w:val="1005"/>
        </w:numPr>
      </w:pPr>
      <w:r>
        <w:t xml:space="preserve">Эффективная защита от коррозии.</w:t>
      </w:r>
    </w:p>
    <w:p>
      <w:pPr>
        <w:pStyle w:val="BlockText"/>
      </w:pPr>
      <w:r>
        <w:t xml:space="preserve">Снижение трудозатрат на монтаже и сокращение сроков строительства достигаются за счёт лёгкости каждого элемента, точных размеров (отклонение по длине заготовки ±1 мм), маркировки, сборочных чертежей стадии КМД и простоты узловых сопряжений.</w:t>
      </w:r>
    </w:p>
    <w:p>
      <w:pPr>
        <w:pStyle w:val="BlockText"/>
      </w:pPr>
      <w:r>
        <w:t xml:space="preserve">Простота узловых сопряжений обеспечивается самосверлящими самонарезающими винтами (ССВ) или болтами. Сварка элементов из ЛСТК не применяется — это снижает энергопотребление на строительной площадке.</w:t>
      </w:r>
    </w:p>
    <w:p>
      <w:pPr>
        <w:pStyle w:val="BlockText"/>
      </w:pPr>
      <w:r>
        <w:t xml:space="preserve">ТХП (тонкостенные холодногнутые профили) изготавливают методом холодной формовки, основанным на способности металла к пластической деформации. Деформация остаётся в профиле после снятия нагрузки. При холодной гибке она сопровождается изменением структуры материала — наклёпом. В момент окончания профилирования волокно исходного материала приобретает деформацию, соответствующую напряжению выше начального предела текучести. Следствие — повышение предела текучести и снижение пластичности. Степень изменения механических свойств зависит от положения волокна в готовом профиле, геометрии сечения, радиуса гибки, числа фаз и роликов. Чем короче прямые участки профиля, тем сильнее изменяются характеристики.</w:t>
      </w:r>
    </w:p>
    <w:p>
      <w:pPr>
        <w:pStyle w:val="BlockText"/>
      </w:pPr>
      <w:r>
        <w:t xml:space="preserve">ТХП изготавливают следующими методами: 1. Холодная гибка оцинкованного листа на кромкозагибочных прессах; 2. Холодная гибка оцинкованного листа на прокатных многовалковых (многоклетьевых) станах.</w:t>
      </w:r>
    </w:p>
    <w:p>
      <w:pPr>
        <w:pStyle w:val="BlockText"/>
      </w:pPr>
      <w:r>
        <w:t xml:space="preserve">Второй метод предпочтителен. Заменяя деформацию растяжения при гибке сжатием, можно прокатывать профили различной конфигурации с гарантированными параметрами (площадь сечения, моменты сопротивления, осевые моменты инерции, радиусы инерции). Дефекты — трещины, волнистость, остаточная деформация после отреза — образуются в меньшей степени.</w:t>
      </w:r>
    </w:p>
    <w:p>
      <w:pPr>
        <w:pStyle w:val="BlockText"/>
      </w:pPr>
      <w:r>
        <w:t xml:space="preserve">Сортамент изготавливаемых ТХП достаточно разнообразен (рис. 1). Форма поперечного сечения определяется назначением профиля.</w:t>
      </w:r>
    </w:p>
    <w:p>
      <w:pPr>
        <w:pStyle w:val="BlockText"/>
      </w:pPr>
      <w:r>
        <w:t xml:space="preserve">Наиболее распространённые типы сечений ЛСТК для несущих конструкций — С-, Z- и СИГМА-образные. В среднем толщина профилей варьируется от 0,7 до 3,0 мм, высота — от 150 до 300 мм (для стали С345). Толщина может достигать 4,0 мм, высота — 400 мм (для стали С255).</w:t>
      </w:r>
    </w:p>
    <w:p>
      <w:pPr>
        <w:pStyle w:val="BlockText"/>
      </w:pPr>
      <w:r>
        <w:t xml:space="preserve">При недостаточной несущей способности одиночного профиля используются составные сечения из двух или четырёх одиночных (рис. 2). Одиночные профили соединяются на самосверлящих самонарезающих винтах, заклёпках или болтах — непосредственно или через листовые прокладки.</w:t>
      </w:r>
    </w:p>
    <w:p>
      <w:pPr>
        <w:pStyle w:val="BlockText"/>
      </w:pPr>
      <w:r>
        <w:t xml:space="preserve">Рис 1.1 – Сортамент ЛСТК (С, СИГМА, Z, П-образные).</w:t>
      </w:r>
    </w:p>
    <w:p>
      <w:pPr>
        <w:pStyle w:val="BlockText"/>
      </w:pPr>
      <w:r>
        <w:t xml:space="preserve">Для сжатых стержней целесообразны коробчатые сечения с жёсткими полками или прямоугольные замкнутые профили. Отгиб увеличивает жёсткость профиля и снижает опасность местной потери устойчивости. Для растянутых стержней лучше подходят профили с менее развитым сечением и более толстыми стенками.</w:t>
      </w:r>
    </w:p>
    <w:p>
      <w:pPr>
        <w:pStyle w:val="BlockText"/>
      </w:pPr>
      <w:r>
        <w:t xml:space="preserve">Рис. 1.2 – Составные сечения из ЛСТК.</w:t>
      </w:r>
    </w:p>
    <w:p>
      <w:pPr>
        <w:pStyle w:val="BlockText"/>
      </w:pPr>
      <w:r>
        <w:t xml:space="preserve">При работе элемента на кручение предпочтение следует отдавать замкнутым сечениям.</w:t>
      </w:r>
    </w:p>
    <w:p>
      <w:pPr>
        <w:pStyle w:val="BlockText"/>
      </w:pPr>
      <w:r>
        <w:t xml:space="preserve">ЛСТК предназначены для эксплуатации в неагрессивных и слабоагрессивных средах при температуре наружного воздуха не выше +40°С и не ниже –65°С, влажности не более 65%. Динамические и вибрационные нагрузки, а также сейсмичность площадки более 8 баллов нежелательны. Гнутые профили не применяются в элементах, подверженных ударам и местному давлению, вызывающим местную деформацию профиля.</w:t>
      </w:r>
    </w:p>
    <w:p>
      <w:pPr>
        <w:pStyle w:val="BlockText"/>
      </w:pPr>
      <w:r>
        <w:t xml:space="preserve">Большинство ЛСТК изготавливаются из сталей классов С255 и С345. Согласно СНиП II-23-81* нормативный предел текучести стали С255 составляет 255 Н/мм², С345 — 345 Н/мм²; временное сопротивление — 380 и 490 Н/мм² соответственно. Относительное удлинение не менее 16% — необходимое условие для сохранения пластичности стали.</w:t>
      </w:r>
    </w:p>
    <w:p>
      <w:pPr>
        <w:pStyle w:val="BlockText"/>
      </w:pPr>
      <w:r>
        <w:t xml:space="preserve">Скорость коррозии незащищённых стальных профилей составляет 0,04–0,16 мм/год, что для малых толщин существенно. Для антикоррозионной защиты используется цинк: он коррозирует медленнее стали за счёт большего отрицательного электрохимического потенциала.</w:t>
      </w:r>
    </w:p>
    <w:p>
      <w:pPr>
        <w:pStyle w:val="BlockText"/>
      </w:pPr>
      <w:r>
        <w:t xml:space="preserve">Коррозионная стойкость ЛСТК обеспечивается двухсторонним цинковым покрытием, наносимым методом непрерывного горячего окунания в расплав чистотой 99%. Суммарная масса цинка на двух поверхностях должна быть не менее 275 г/м², что обеспечивает стойкость не менее 25 лет в неагрессивной или слабоагрессивной среде.</w:t>
      </w:r>
    </w:p>
    <w:p>
      <w:pPr>
        <w:pStyle w:val="BlockText"/>
      </w:pPr>
      <w:r>
        <w:t xml:space="preserve">Для повышения коррозионной стойкости профили могут выполняться из оцинкованной стали с дополнительным полимерным (на основе полиэстера) или лакокрасочным покрытием.</w:t>
      </w:r>
    </w:p>
    <w:p>
      <w:pPr>
        <w:pStyle w:val="BlockText"/>
      </w:pPr>
      <w:r>
        <w:t xml:space="preserve">Сварка и газовая резка ЛСТК не допускаются.</w:t>
      </w:r>
    </w:p>
    <w:p>
      <w:pPr>
        <w:pStyle w:val="BlockText"/>
      </w:pPr>
      <w:r>
        <w:t xml:space="preserve">В ограждающих конструкциях из ЛСТК предусматриваются меры против образования конденсата на поверхности профилей: пароизоляция, гидроизоляция, теплоизоляция без «мостиков холода». Метизы крепления (самонарезающие винты, болты, заклёпки) имеют коррозионностойкое покрытие из кадмия, цинка или аналогичных материалов толщиной не менее 10 мкм.</w:t>
      </w:r>
    </w:p>
    <w:p>
      <w:pPr>
        <w:pStyle w:val="BlockText"/>
      </w:pPr>
      <w:r>
        <w:t xml:space="preserve">Недостатки ЛСТК:</w:t>
      </w:r>
    </w:p>
    <w:p>
      <w:pPr>
        <w:numPr>
          <w:ilvl w:val="0"/>
          <w:numId w:val="1006"/>
        </w:numPr>
      </w:pPr>
      <w:r>
        <w:t xml:space="preserve">Отсутствие отечественной нормативной базы по расчёту конструкций из ЛСТК;</w:t>
      </w:r>
    </w:p>
    <w:p>
      <w:pPr>
        <w:numPr>
          <w:ilvl w:val="0"/>
          <w:numId w:val="1006"/>
        </w:numPr>
      </w:pPr>
      <w:r>
        <w:t xml:space="preserve">Некорректные результаты при применении существующих методик расчёта болтовых соединений для стальных конструкций;</w:t>
      </w:r>
    </w:p>
    <w:p>
      <w:pPr>
        <w:numPr>
          <w:ilvl w:val="0"/>
          <w:numId w:val="1006"/>
        </w:numPr>
      </w:pPr>
      <w:r>
        <w:t xml:space="preserve">Долговечность узловых соединений в слабоагрессивных средах не превышает 25 лет;</w:t>
      </w:r>
    </w:p>
    <w:p>
      <w:pPr>
        <w:numPr>
          <w:ilvl w:val="0"/>
          <w:numId w:val="1006"/>
        </w:numPr>
      </w:pPr>
      <w:r>
        <w:t xml:space="preserve">Зыбкость перекрытия, связанная с деформативностью и малой массой;</w:t>
      </w:r>
    </w:p>
    <w:p>
      <w:pPr>
        <w:numPr>
          <w:ilvl w:val="0"/>
          <w:numId w:val="1006"/>
        </w:numPr>
      </w:pPr>
      <w:r>
        <w:t xml:space="preserve">Высокая теплопроводность при отсутствии мер по её снижению (например, перфорации). Элементы ЛСТК, проходящие по всему сечению наружной ограждающей конструкции, создают «мостики холода», вызывают промерзание внутренней поверхности стены и выпадение конденсата;</w:t>
      </w:r>
    </w:p>
    <w:p>
      <w:pPr>
        <w:numPr>
          <w:ilvl w:val="0"/>
          <w:numId w:val="1006"/>
        </w:numPr>
      </w:pPr>
      <w:r>
        <w:t xml:space="preserve">Малая огнестойкость при отсутствии защитных мер (например, подвесного потолка из гипсокартонных листов);</w:t>
      </w:r>
    </w:p>
    <w:p>
      <w:pPr>
        <w:numPr>
          <w:ilvl w:val="0"/>
          <w:numId w:val="1006"/>
        </w:numPr>
      </w:pPr>
      <w:r>
        <w:t xml:space="preserve">Более высокая стоимость по сравнению с прокатными профилями;</w:t>
      </w:r>
    </w:p>
    <w:p>
      <w:pPr>
        <w:numPr>
          <w:ilvl w:val="0"/>
          <w:numId w:val="1006"/>
        </w:numPr>
      </w:pPr>
      <w:r>
        <w:t xml:space="preserve">Повышенный риск повреждения при транспортировке, погрузке-разгрузке и монтаже;</w:t>
      </w:r>
    </w:p>
    <w:p>
      <w:pPr>
        <w:numPr>
          <w:ilvl w:val="0"/>
          <w:numId w:val="1006"/>
        </w:numPr>
      </w:pPr>
      <w:r>
        <w:t xml:space="preserve">Консерватизм потенциальных заказчиков и проектировщиков;</w:t>
      </w:r>
    </w:p>
    <w:p>
      <w:pPr>
        <w:numPr>
          <w:ilvl w:val="0"/>
          <w:numId w:val="1006"/>
        </w:numPr>
      </w:pPr>
      <w:r>
        <w:t xml:space="preserve">Относительно небольшие максимальные пролёты (до 24 метров).</w:t>
      </w:r>
    </w:p>
    <w:p>
      <w:pPr>
        <w:pStyle w:val="BlockText"/>
      </w:pPr>
      <w:r>
        <w:t xml:space="preserve">Несмотря на перечисленные недостатки, ЛСТК имеют свою область применения, в которой эффективность их использования выше, чем у традиционных конструкций.</w:t>
      </w:r>
    </w:p>
    <w:p>
      <w:pPr>
        <w:pStyle w:val="BlockText"/>
      </w:pPr>
      <w:r>
        <w:t xml:space="preserve">Фермы из ЛСТК с профилями составного сечения позволяют перекрывать большие пролёты. В современных публикациях редко встречаются исследования поведения профилей в составе фермы и практически нет работ, посвящённых конструкции в целом. По этой причине была поставлена задача изучить работу фермы методами конечно-элементного моделирования.</w:t>
      </w:r>
    </w:p>
    <w:p>
      <w:r>
        <w:pict>
          <v:rect style="width:0;height:1.5pt" o:hralign="center" o:hrstd="t" o:hr="t"/>
        </w:pict>
      </w:r>
    </w:p>
    <w:bookmarkEnd w:id="180"/>
    <w:bookmarkStart w:id="181" w:name="X4301884a5e538894b6192bceb54d5f6acdbede9"/>
    <w:p>
      <w:pPr>
        <w:pStyle w:val="3"/>
      </w:pPr>
      <w:r>
        <w:t xml:space="preserve">1.2 Обзор состояния вопроса в отечественных нормах</w:t>
      </w:r>
    </w:p>
    <w:p>
      <w:pPr>
        <w:pStyle w:val="BlockText"/>
      </w:pPr>
      <w:r>
        <w:t xml:space="preserve">Применение несущих конструкций из тонкостенных гнутых стальных профилей в России сдерживается ограниченными возможностями отечественной нормативной базы для оценки их прочности и устойчивости.</w:t>
      </w:r>
    </w:p>
    <w:p>
      <w:pPr>
        <w:pStyle w:val="BlockText"/>
      </w:pPr>
      <w:r>
        <w:t xml:space="preserve">Проблема состоит в том, что СНиП 11-23-81* и СП 53-102-2004 устанавливают ограничения на отношения линейных размеров и толщины профиля: для стенок — по табл. 27* СНиП 11-23-81*, для полок — по табл. 29*. Для тонкостенных гнутых стальных профилей эти ограничения, как правило, не выполняются. Они гарантируют, что при любом нагружении несущая способность элемента по прочности и/или устойчивости исчерпывается прежде, чем происходит локальная потеря устойчивости полок и/или стенок.</w:t>
      </w:r>
    </w:p>
    <w:p>
      <w:pPr>
        <w:pStyle w:val="BlockText"/>
      </w:pPr>
      <w:r>
        <w:t xml:space="preserve">Локальная потеря устойчивости стенки и/или полки, однако, не приводит к немедленному исчерпанию несущей способности элемента. На рис. 3 показана первая форма потери устойчивости, полученная расчётом с использованием оболочечных элементов. По этой форме профиль продолжает воспринимать возрастающую нагрузку, хотя и с меньшей жёсткостью. Использование оболочечных элементов с нелинейным анализом в закритической области — технически дорогой и трудоёмкий путь для рутинных расчётов реальных конструкций. В Европе, где такие конструкции применяются давно, разработаны методики расчёта на основе концепции редуцирования сечения.</w:t>
      </w:r>
    </w:p>
    <w:p>
      <w:pPr>
        <w:pStyle w:val="BlockText"/>
      </w:pPr>
      <w:r>
        <w:t xml:space="preserve">Рис.1.3 – Первая форма потери устойчивости профиля.</w:t>
      </w:r>
    </w:p>
    <w:p>
      <w:pPr>
        <w:pStyle w:val="BlockText"/>
      </w:pPr>
      <w:r>
        <w:t xml:space="preserve">Отечественные и европейские методики проверки прочности и устойчивости основываются на одних и тех же задачах механики. Разница — в коэффициентах и алгоритмах понижения критических усилий. Это позволяет строить методики расчёта несущих элементов из тонкостенных гнутых профилей на общих решениях с применением правил понижения, принятых в отечественных нормах.</w:t>
      </w:r>
    </w:p>
    <w:p>
      <w:pPr>
        <w:pStyle w:val="BlockText"/>
      </w:pPr>
      <w:r>
        <w:t xml:space="preserve">Разработанные методики реализованы в ПК MicroFe начиная с версии 2007.</w:t>
      </w:r>
    </w:p>
    <w:p>
      <w:pPr>
        <w:pStyle w:val="BlockText"/>
      </w:pPr>
      <w:r>
        <w:t xml:space="preserve">Редуцирование сечения. СНиП 11-23-81* допускает использование профилей с гибкостью стенок выше критической (п. 7.20*): предусмотрен алгоритм уменьшения фактической площади поперечного сечения за счёт отбрасывания части потерявшей устойчивость стенки. Принципиально СНиП допускает конструкции из тонкостенных профилей с превышенными критическими значениями отношений. Однако алгоритм описан лишь для узко ограниченного набора сечений и нагружений, что не позволяет напрямую использовать его для всего многообразия конструктивных элементов из гнутых профилей.</w:t>
      </w:r>
    </w:p>
    <w:p>
      <w:r>
        <w:pict>
          <v:rect style="width:0;height:1.5pt" o:hralign="center" o:hrstd="t" o:hr="t"/>
        </w:pict>
      </w:r>
    </w:p>
    <w:bookmarkEnd w:id="181"/>
    <w:bookmarkStart w:id="182" w:name="Xdac5ac538b23c6ac026999d49b8c6947c3c5610"/>
    <w:p>
      <w:pPr>
        <w:pStyle w:val="3"/>
      </w:pPr>
      <w:r>
        <w:t xml:space="preserve">1.3. Обзор состояния вопроса в зарубежных нормах</w:t>
      </w:r>
    </w:p>
    <w:p>
      <w:pPr>
        <w:pStyle w:val="BlockText"/>
      </w:pPr>
      <w:r>
        <w:t xml:space="preserve">В Европе конструктивные элементы из гнутых тонкостенных профилей применяются давно, поэтому в нормах изложены методы расчёта для сечений любой конфигурации (сечения 4-го класса). Представительный пример — германский DIN 18800 и Еврокод 3. В обеих зарубежных нормах, как и в отечественных, применяется метод редуцирования фактического сечения. Отличие от СНиП 112381* — в европейских нормах чётко прописана зависимость отбрасываемой области от напряжённого состояния фрагмента сечения и наличия подкрепления со стороны соседних участков. Это открывает возможность расчёта сечений произвольной конфигурации. На рисунках 1.46 и 1.4в видно, что при потере устойчивости выпучиваются не только стенки швеллера, но и полки и окаймляющие рёбра — и это тоже учитывается в расчёте.</w:t>
      </w:r>
    </w:p>
    <w:p>
      <w:pPr>
        <w:pStyle w:val="BlockText"/>
      </w:pPr>
      <w:r>
        <w:t xml:space="preserve">В общем случае пластинчатые участки стержня представляют собой неравномерно нагруженные по ширине полосы с различным типом опирания по сторонам; критическое напряжение записывается в виде (1.1):</w:t>
      </w:r>
    </w:p>
    <w:p>
      <w:pPr>
        <w:pStyle w:val="BlockText"/>
      </w:pPr>
      <w:r>
        <w:t xml:space="preserve">(1.1.)</w:t>
      </w:r>
    </w:p>
    <w:p>
      <w:pPr>
        <w:pStyle w:val="BlockText"/>
      </w:pPr>
      <w:r>
        <w:t xml:space="preserve">Коэффициент к</w:t>
      </w:r>
      <w:r>
        <w:rPr>
          <w:vertAlign w:val="subscript"/>
        </w:rPr>
        <w:t xml:space="preserve">а</w:t>
      </w:r>
      <w:r>
        <w:t xml:space="preserve"> </w:t>
      </w:r>
      <w:r>
        <w:t xml:space="preserve">зависит от условий опирания и распределения напряжений по ширине полосы.</w:t>
      </w:r>
    </w:p>
    <w:p>
      <w:pPr>
        <w:pStyle w:val="BlockText"/>
      </w:pPr>
      <w:r>
        <w:t xml:space="preserve">Потеря устойчивости не означает исчерпания несущей способности пластинки: она продолжает воспринимать возрастающие напряжения.</w:t>
      </w:r>
    </w:p>
    <w:p>
      <w:pPr>
        <w:pStyle w:val="BlockText"/>
      </w:pPr>
      <w:r>
        <w:t xml:space="preserve">Карман в 1932 г. предложил простой подход к оценке несущей способности пластинки при закритических напряжениях, введя коэффициент редуцирования ширины полосы р. В зависимости от условной гибкости пластинки Д это соотношение имеет вид (1.2.):</w:t>
      </w:r>
    </w:p>
    <w:p>
      <w:pPr>
        <w:pStyle w:val="BlockText"/>
      </w:pPr>
      <w:r>
        <w:t xml:space="preserve">(1.2.)</w:t>
      </w:r>
    </w:p>
    <w:p>
      <w:pPr>
        <w:pStyle w:val="BlockText"/>
      </w:pPr>
      <w:r>
        <w:t xml:space="preserve">Разработчики Еврокода 3 на основе экспериментальных данных и численного решения задачи о закритической деформации пластинки приняли для коэффициента редуцирования соотношение (1.3.):</w:t>
      </w:r>
    </w:p>
    <w:p>
      <w:pPr>
        <w:pStyle w:val="BlockText"/>
      </w:pPr>
      <w:r>
        <w:t xml:space="preserve">(1.3.)</w:t>
      </w:r>
    </w:p>
    <w:p>
      <w:pPr>
        <w:pStyle w:val="BlockText"/>
      </w:pPr>
      <w:r>
        <w:t xml:space="preserve">На рисунке 1.4,а показаны зависимости коэффициента редуцирования от условной гибкости по решению Кармана и по Еврокоду 3. Чёрная линия (1/к</w:t>
      </w:r>
      <w:r>
        <w:rPr>
          <w:vertAlign w:val="subscript"/>
        </w:rPr>
        <w:t xml:space="preserve">р</w:t>
      </w:r>
      <w:r>
        <w:rPr>
          <w:vertAlign w:val="superscript"/>
        </w:rPr>
        <w:t xml:space="preserve">2</w:t>
      </w:r>
      <w:r>
        <w:t xml:space="preserve">) соответствует бифуркационной задаче.</w:t>
      </w:r>
    </w:p>
    <w:p>
      <w:pPr>
        <w:pStyle w:val="BlockText"/>
      </w:pPr>
      <w:r>
        <w:t xml:space="preserve">Рис. 1.4 – Зависимости коэффициента редуцирования, а) зависимости коэффициента редуцирования от условной гибкости по решению Кармана и по Еврокоду 3; б) зависимости коэффициента редуцирования для стенки от отношения нормальных напряжений по её краям.</w:t>
      </w:r>
    </w:p>
    <w:p>
      <w:pPr>
        <w:pStyle w:val="BlockText"/>
      </w:pPr>
      <w:r>
        <w:t xml:space="preserve">Зависимость коэффициента редуцирования от отношения напряжений несколько различается в национальных редакциях Еврокода 3. На рис. 4,б показаны зависимости для стенки от отношения нормальных напряжений по её краям: германская версия даёт меньшее значение р. Применение германской версии предпочтительнее, так как расчёт идёт в запас прочности.</w:t>
      </w:r>
    </w:p>
    <w:p>
      <w:pPr>
        <w:pStyle w:val="BlockText"/>
      </w:pPr>
      <w:r>
        <w:t xml:space="preserve">Расчёт элемента из тонкостенного гнутого профиля сводится к трём этапам.</w:t>
      </w:r>
    </w:p>
    <w:p>
      <w:pPr>
        <w:numPr>
          <w:ilvl w:val="0"/>
          <w:numId w:val="1007"/>
        </w:numPr>
      </w:pPr>
      <w:r>
        <w:t xml:space="preserve">По имеющимся значениям внутренних силовых факторов (изгибающие моменты и продольная сила) определяется распределение нормальных напряжений по сечению элемента.</w:t>
      </w:r>
    </w:p>
    <w:p>
      <w:pPr>
        <w:numPr>
          <w:ilvl w:val="0"/>
          <w:numId w:val="1007"/>
        </w:numPr>
      </w:pPr>
      <w:r>
        <w:t xml:space="preserve">Для прямолинейных участков сечения по правилам Еврокода 3 вычисляются коэффициенты редуцирования и определяются участки, исключаемые из расчёта. После этого пересчитываются положение центральных осей и характеристики сечения, а также дополнительные изгибающие моменты от продольной силы из-за смещения осей (рис. 5). Этапы 1 и 2 повторяются итерационно до стабилизации коэффициентов редуцирования.</w:t>
      </w:r>
    </w:p>
    <w:p>
      <w:pPr>
        <w:pStyle w:val="BlockText"/>
      </w:pPr>
      <w:r>
        <w:t xml:space="preserve">Рис 1.5 – Дополнительные изгибающие моменты.</w:t>
      </w:r>
    </w:p>
    <w:p>
      <w:pPr>
        <w:pStyle w:val="Compact"/>
        <w:numPr>
          <w:ilvl w:val="0"/>
          <w:numId w:val="1008"/>
        </w:numPr>
      </w:pPr>
      <w:r>
        <w:t xml:space="preserve">Для элемента с характеристиками редуцированного сечения и скорректированными внутренними силовыми факторами проводятся проверки на прочность и устойчивость.</w:t>
      </w:r>
    </w:p>
    <w:p>
      <w:pPr>
        <w:pStyle w:val="BlockText"/>
      </w:pPr>
      <w:r>
        <w:t xml:space="preserve">Проверка несущей способности сжатых элементов. Поскольку для элемента с редуцированным сечением не выполняются требования по устойчивости стенок и полок, проверка прочности на действие нормальных напряжений проводится по формуле (50) СНиП 11-23-81* с использованием характеристик редуцированного сечения и скорректированных значений моментов (1.4):</w:t>
      </w:r>
    </w:p>
    <w:p>
      <w:pPr>
        <w:pStyle w:val="BlockText"/>
      </w:pPr>
      <w:r>
        <w:t xml:space="preserve">(1.4)</w:t>
      </w:r>
    </w:p>
    <w:p>
      <w:pPr>
        <w:pStyle w:val="BlockText"/>
      </w:pPr>
      <w:r>
        <w:t xml:space="preserve">Проверка устойчивости центрально сжатых элементов согласно п. 5.3 СНиП 11-23-81* проводится по формуле (1.5):</w:t>
      </w:r>
    </w:p>
    <w:p>
      <w:pPr>
        <w:pStyle w:val="BlockText"/>
      </w:pPr>
      <w:r>
        <w:t xml:space="preserve">(1.5) Аналогичное соотношение используется в Еврокоде 3, но на этом сходство заканчивается: правила вычисления коэффициента продольного изгиба φ различаются как между СНиП 1123-81* и Еврокодом 3, так и между СНиП 1123-81* и СП 53-102-2004.</w:t>
      </w:r>
    </w:p>
    <w:p>
      <w:pPr>
        <w:pStyle w:val="BlockText"/>
      </w:pPr>
      <w:r>
        <w:t xml:space="preserve">Национальные версии Еврокода 3 предлагают различные кривые устойчивости для составных сечений из тонкостенных гнутых профилей; в большинстве случаев это кривая b, и только для одиночных несимметричных профилей рекомендуется кривая с.</w:t>
      </w:r>
    </w:p>
    <w:p>
      <w:pPr>
        <w:pStyle w:val="BlockText"/>
      </w:pPr>
      <w:r>
        <w:t xml:space="preserve">На рис 1.6 приведены зависимости отношений коэффициентов продольного изгиба, вычисленных по различным нормам. Использование СНиП 11-23-81 вместо СП 53-102-2004 даёт бо́льшую разницу результатов, чем использование Еврокода 3. Впрочем, различия настолько малы и несистематичны, что можно использовать табл. 72 СНиП 11-23-81* или кривую b табл. Ж.1 СП 53-102-2004.</w:t>
      </w:r>
    </w:p>
    <w:p>
      <w:pPr>
        <w:pStyle w:val="BlockText"/>
      </w:pPr>
      <w:r>
        <w:t xml:space="preserve">Рис. 1.6 – Зависимости отношений коэффициентов продольного изгиба.</w:t>
      </w:r>
    </w:p>
    <w:p>
      <w:r>
        <w:pict>
          <v:rect style="width:0;height:1.5pt" o:hralign="center" o:hrstd="t" o:hr="t"/>
        </w:pict>
      </w:r>
    </w:p>
    <w:bookmarkEnd w:id="182"/>
    <w:bookmarkStart w:id="183" w:name="кривые-предельного-загружения"/>
    <w:p>
      <w:pPr>
        <w:pStyle w:val="3"/>
      </w:pPr>
      <w:r>
        <w:t xml:space="preserve">1.4. Кривые предельного загружения</w:t>
      </w:r>
    </w:p>
    <w:p>
      <w:pPr>
        <w:pStyle w:val="BlockText"/>
      </w:pPr>
      <w:r>
        <w:t xml:space="preserve">Поскольку правила редуцирования сечения в отечественных нормах приводятся только для центрального сжатия, для проверки принятых решений был проведён ряд тестовых расчётов для сжатого двутавра с тонкой стенкой и одинаковой площадью стенки и полки. На рисунке 1.15 показаны зависимости коэффициента продольного изгиба стержня от приведённой гибкости. Применение правил редуцирования Еврокода 3 приводит к результатам, совпадающим со СНиП 11-2381*. Там же видно, что при одинаковой толщине стенки и полки существенная часть последней, по правилам Еврокода 3, подлежит редуцированию — несущая способность стержня при этом заметно снижается.</w:t>
      </w:r>
    </w:p>
    <w:p>
      <w:pPr>
        <w:pStyle w:val="BlockText"/>
      </w:pPr>
      <w:r>
        <w:t xml:space="preserve">Основной вид нагружения несущих элементов — не центральное, а внецентренное сжатие, то есть продольно-поперечный изгиб. Здесь отечественные нормы имеют преимущество. По СНиП II-23-81* расчёт устойчивости внецентренно сжатых элементов ведётся по табл. 74 в зависимости от приведённой гибкости стержня и относительного эксцентриситета. Поскольку таблица получена из конкретной задачи механики, результат однозначен и воспроизводим для любого сечения. В европейских нормах проверка устойчивости ведётся по единой формуле (1.6.):</w:t>
      </w:r>
    </w:p>
    <w:p>
      <w:pPr>
        <w:pStyle w:val="BlockText"/>
      </w:pPr>
      <w:r>
        <w:t xml:space="preserve">(1.6.)</w:t>
      </w:r>
    </w:p>
    <w:p>
      <w:pPr>
        <w:pStyle w:val="BlockText"/>
      </w:pPr>
      <w:r>
        <w:t xml:space="preserve">Рис. 1.7 – Зависимости коэффициента продольного изгиба стержня.</w:t>
      </w:r>
    </w:p>
    <w:p>
      <w:pPr>
        <w:pStyle w:val="BlockText"/>
      </w:pPr>
      <w:r>
        <w:t xml:space="preserve">Правила вычисления коэффициентов влияния к и к различаются не только в разных национальных редакциях, но и в пределах одной редакции предусмотрены альтернативные способы. На рис.1.8-а показано сопоставление предельных кривых по отечественным нормам и альтернативным правилам Еврокода 3. При большой гибкости результаты близки; при малой — существенно расходятся, причём разброс внутри разных методов Еврокода 3 даже больше, чем разница между СНиП и Еврокодом. При средних значениях гибкости и небольших эксцентриситетах СНиП 11-23-81* даёт заметно бо́льшее значение предельной нагрузки. Причина — в соотношении (6) через cp</w:t>
      </w:r>
      <w:r>
        <w:rPr>
          <w:vertAlign w:val="subscript"/>
        </w:rPr>
        <w:t xml:space="preserve">mjri</w:t>
      </w:r>
      <w:r>
        <w:t xml:space="preserve"> </w:t>
      </w:r>
      <w:r>
        <w:t xml:space="preserve">учитывается эксцентриситет геометрического несовершенства элемента.</w:t>
      </w:r>
    </w:p>
    <w:p>
      <w:pPr>
        <w:pStyle w:val="BlockText"/>
      </w:pPr>
      <w:r>
        <w:t xml:space="preserve">Рис. 1.8 – Сопоставление предельных кривых.</w:t>
      </w:r>
    </w:p>
    <w:p>
      <w:pPr>
        <w:pStyle w:val="BlockText"/>
      </w:pPr>
      <w:r>
        <w:t xml:space="preserve">В отечественных нормах этот фактор учитывается только при эксцентриситетах нагрузки меньших, чем i/20 + l/750, что показано на рис. 1.19а пунктирными линиями. На рис. 1.96 кривые предельного нагружения по СНиП 11-23-81*, посчитанные с учётом дополнительного эксцентриситета, практически совпадают со значениями по Еврокоду 3 при средней и большой гибкости.</w:t>
      </w:r>
    </w:p>
    <w:p>
      <w:pPr>
        <w:pStyle w:val="BlockText"/>
      </w:pPr>
      <w:r>
        <w:t xml:space="preserve">Проверку устойчивости сжато-изгибаемых элементов из тонкостенных гнутых профилей следует производить по методике СНиП 11-2381*. Однако табл. 73 для коэффициента влияния формы сечения не охватывает всего многообразия сечений из гнутых профилей, тем более — редуцированных. Поэтому в ПК MicroFe коэффициенты φ и φ</w:t>
      </w:r>
      <w:r>
        <w:rPr>
          <w:vertAlign w:val="subscript"/>
        </w:rPr>
        <w:t xml:space="preserve">r</w:t>
      </w:r>
      <w:r>
        <w:t xml:space="preserve"> </w:t>
      </w:r>
      <w:r>
        <w:t xml:space="preserve">определяются путём решения задачи о продольном изгибе стержня по деформированной схеме с учётом пластических деформаций.</w:t>
      </w:r>
    </w:p>
    <w:p>
      <w:pPr>
        <w:pStyle w:val="BlockText"/>
      </w:pPr>
      <w:r>
        <w:t xml:space="preserve">Рис. 1.9 – Кривые предельного нагружения.</w:t>
      </w:r>
    </w:p>
    <w:p>
      <w:pPr>
        <w:pStyle w:val="BlockText"/>
      </w:pPr>
      <w:r>
        <w:t xml:space="preserve">Проверка устойчивости плоской формы изгиба проводится аналогично п. 5.15 СНиП 11-23-81*(1.7):</w:t>
      </w:r>
    </w:p>
    <w:p>
      <w:pPr>
        <w:pStyle w:val="BlockText"/>
      </w:pPr>
      <w:r>
        <w:t xml:space="preserve">(1.7)</w:t>
      </w:r>
    </w:p>
    <w:p>
      <w:pPr>
        <w:pStyle w:val="BlockText"/>
      </w:pPr>
      <w:r>
        <w:t xml:space="preserve">Европейские и отечественные нормы используют решение бифуркационной задачи с изгибно-крутильными формами потери устойчивости для расчёта коэффициента φb. Рассчитанная критическая нагрузка затем понижается: в Еврокоде 3 — по универсальному правилу, в СНиП 11-23-81* и СП 53-102-2004 — с помощью понижающего коэффициента. На рис. 10 приведено сопоставление критических нагрузок для шарнирно-опёртой двутавровой балки по разным нормам. Критическая нагрузка сильнее всего понижается в Еврокоде 3 — расчёт по этим нормам даёт больший запас устойчивости. Кроме того, в отличие от отечественных норм, ограниченных узким перечнем сечений, правила Еврокода 3 применимы к сечениям любой конфигурации. Это важно, поскольку несущие элементы из тонкостенных профилей обычно выполняются составными.</w:t>
      </w:r>
    </w:p>
    <w:p>
      <w:pPr>
        <w:pStyle w:val="BlockText"/>
      </w:pPr>
      <w:r>
        <w:t xml:space="preserve">Расчётные формулы для критической нагрузки потери устойчивости плоской формы изгиба при различных способах приложения нагрузки приведены во многих учебниках и монографиях. В эти формулы входят моменты инерции свободного и стеснённого кручения. Их вычисление для составных сечений произвольной формы — нетривиальная задача (разнообразие типов сечений из гнутых профилей таково, что избежать произвольной формы не удаётся, см. рис. 11). В ПК MicroFe для этого решается задача о кручении стержня некруглого поперечного сечения с вычислением функции депланации w(x, y) для сложных многосвязных областей.</w:t>
      </w:r>
    </w:p>
    <w:p>
      <w:pPr>
        <w:pStyle w:val="BlockText"/>
      </w:pPr>
      <w:r>
        <w:t xml:space="preserve">Рис. 1.10 – Сопоставление критических нагрузок потери устойчивости плоской формы изгиба шарнирно опёртой двутавровой балки.</w:t>
      </w:r>
    </w:p>
    <w:p>
      <w:pPr>
        <w:pStyle w:val="BlockText"/>
      </w:pPr>
      <w:r>
        <w:t xml:space="preserve">Рис.1.11 – Типы сечений профилей.</w:t>
      </w:r>
    </w:p>
    <w:p>
      <w:pPr>
        <w:pStyle w:val="BlockText"/>
      </w:pPr>
      <w:r>
        <w:t xml:space="preserve">Влияние поперечных сил на прочность и устойчивость. Поперечные силы при изгибе стержневых элементов уравновешиваются касательными напряжениями в сечении. Для сечений относительно простой формы (двутавр, тавр, швеллер) касательные напряжения рассчитываются по формуле Журавского. В сложных составных сечениях этот метод проблематичен: в зоне разреза могут оказаться фрагменты с различной толщиной и статическими моментами. Кроме того, он не выявляет специфических особенностей потока касательных напряжений — например, в стенках Х-образных профилей. В ПК MicroFe для этого разработан универсальный метод на основе функции депланации W(X, Y) (формула 1.8):</w:t>
      </w:r>
    </w:p>
    <w:p>
      <w:pPr>
        <w:pStyle w:val="BlockText"/>
      </w:pPr>
      <w:r>
        <w:t xml:space="preserve">(1.8)</w:t>
      </w:r>
    </w:p>
    <w:p>
      <w:pPr>
        <w:pStyle w:val="BlockText"/>
      </w:pPr>
      <w:r>
        <w:t xml:space="preserve">После решения задачи и получения поля касательных напряжений определяется максимальное суммарное касательное напряжение (1.9):</w:t>
      </w:r>
    </w:p>
    <w:p>
      <w:pPr>
        <w:pStyle w:val="BlockText"/>
      </w:pPr>
      <w:r>
        <w:t xml:space="preserve">(1.9)</w:t>
      </w:r>
    </w:p>
    <w:p>
      <w:pPr>
        <w:pStyle w:val="BlockText"/>
      </w:pPr>
      <w:r>
        <w:t xml:space="preserve">и проводится проверка прочности.</w:t>
      </w:r>
    </w:p>
    <w:p>
      <w:pPr>
        <w:pStyle w:val="BlockText"/>
      </w:pPr>
      <w:r>
        <w:t xml:space="preserve">(1.10)</w:t>
      </w:r>
    </w:p>
    <w:tbl>
      <w:tblPr>
        <w:tblStyle w:val="Table"/>
        <w:tblW w:type="auto" w:w="0"/>
        <w:tblLook w:firstRow="0" w:lastRow="0" w:firstColumn="0" w:lastColumn="0" w:noHBand="0" w:noVBand="0" w:val="0000"/>
      </w:tblPr>
      <w:tblGrid>
        <w:gridCol w:w="7920"/>
      </w:tblGrid>
      <w:tr>
        <w:tc>
          <w:tcPr/>
          <w:p>
            <w:pPr>
              <w:pStyle w:val="Compact"/>
              <w:jc w:val="left"/>
            </w:pPr>
            <w:r>
              <w:t xml:space="preserve">и проводится проверка прочности (1.11)</w:t>
            </w:r>
          </w:p>
        </w:tc>
      </w:tr>
    </w:tbl>
    <w:p>
      <w:r>
        <w:pict>
          <v:rect style="width:0;height:1.5pt" o:hralign="center" o:hrstd="t" o:hr="t"/>
        </w:pict>
      </w:r>
    </w:p>
    <w:p>
      <w:pPr>
        <w:pStyle w:val="BlockText"/>
      </w:pPr>
      <w:r>
        <w:t xml:space="preserve">Кроме того, определяется точка сечения с максимумом эквивалентных напряжений (формула 1.11)</w:t>
      </w:r>
    </w:p>
    <w:p>
      <w:pPr>
        <w:pStyle w:val="BlockText"/>
      </w:pPr>
      <w:r>
        <w:t xml:space="preserve">(1.12)</w:t>
      </w:r>
    </w:p>
    <w:p>
      <w:pPr>
        <w:pStyle w:val="BlockText"/>
      </w:pPr>
      <w:r>
        <w:t xml:space="preserve">СНиП 11-23-81* и СП 53-102-2004 допускают превышение эквивалентными напряжениями расчётного сопротивления на 15%. Еврокод 3 также допускает некоторое превышение предела текучести: пластические деформации на небольшом участке сечения приводят к незначительному перераспределению напряжений в локальной зоне и не влияют на несущую способность элемента. Тем не менее тонкостенные профили при изготовлении претерпевают значительные пластические деформации в местах перегиба — особенно в стенках Σ-образных профилей. Из-за эффекта Баушингера прочность этих участков может существенно снизиться при попадании в зону максимальных эквивалентных напряжений. Насколько именно следует понижать значения в правых частях (1.10) и (1.12) — вопрос, требующий дополнительных исследований.</w:t>
      </w:r>
    </w:p>
    <w:p>
      <w:pPr>
        <w:pStyle w:val="BlockText"/>
      </w:pPr>
      <w:r>
        <w:t xml:space="preserve">Локальная потеря устойчивости стенок тонкостенных профилей может происходить не только от нормальных, но и от касательных напряжений. Зависимости критических касательных напряжений сдвига в стенке от отношения высоты к толщине рассчитаны по разным методикам на основе задачи о потере устойчивости удлинённой прямоугольной пластинки. Кривая германской версии Еврокода 3 обрабатывает экспериментальные данные с учётом закритической деформации пластин и поэтому даёт значительно более высокие значения критической нагрузки.</w:t>
      </w:r>
    </w:p>
    <w:p>
      <w:r>
        <w:pict>
          <v:rect style="width:0;height:1.5pt" o:hralign="center" o:hrstd="t" o:hr="t"/>
        </w:pict>
      </w:r>
    </w:p>
    <w:bookmarkEnd w:id="183"/>
    <w:bookmarkStart w:id="184" w:name="критическая-нагрузка"/>
    <w:p>
      <w:pPr>
        <w:pStyle w:val="3"/>
      </w:pPr>
      <w:r>
        <w:t xml:space="preserve">1.5. Критическая нагрузка</w:t>
      </w:r>
    </w:p>
    <w:p>
      <w:pPr>
        <w:pStyle w:val="BlockText"/>
      </w:pPr>
      <w:r>
        <w:t xml:space="preserve">По СНиП II-23-81* и СП 53-102-2004 критическая нагрузка лежит несколько выше теоретической кривой благодаря учёту частичного защемления стенки. Поскольку версии Еврокода 3 дают сильно различающиеся значения, при разработке методики проверки устойчивости стенки под действием поперечных сил принято промежуточное правило: британская версия при малой гибкости, отечественные нормы — при большой.</w:t>
      </w:r>
    </w:p>
    <w:p>
      <w:pPr>
        <w:pStyle w:val="BlockText"/>
      </w:pPr>
      <w:r>
        <w:t xml:space="preserve">При наличии касательных напряжений критическая нагрузка от сжимающих напряжений σ</w:t>
      </w:r>
      <w:r>
        <w:rPr>
          <w:vertAlign w:val="subscript"/>
        </w:rPr>
        <w:t xml:space="preserve">с</w:t>
      </w:r>
      <w:r>
        <w:t xml:space="preserve"> </w:t>
      </w:r>
      <w:r>
        <w:t xml:space="preserve">понижается. Поскольку σ</w:t>
      </w:r>
      <w:r>
        <w:rPr>
          <w:vertAlign w:val="subscript"/>
        </w:rPr>
        <w:t xml:space="preserve">с</w:t>
      </w:r>
      <w:r>
        <w:t xml:space="preserve"> </w:t>
      </w:r>
      <w:r>
        <w:t xml:space="preserve">используется для редуцирования сечения, влияние касательных напряжений на коэффициент редуцирования необходимо учитывать. На каждом участке профиля между рёбрами вычисляется среднее напряжение сдвига от поперечных сил. Затем, в зависимости от характера распределения нормальных напряжений на участке, вычисленная условная гибкость участка к умножается на коэффициент к</w:t>
      </w:r>
      <w:r>
        <w:rPr>
          <w:vertAlign w:val="subscript"/>
        </w:rPr>
        <w:t xml:space="preserve">т</w:t>
      </w:r>
      <w:r>
        <w:t xml:space="preserve"> </w:t>
      </w:r>
      <w:r>
        <w:t xml:space="preserve">при преимущественно сжимающих напряжениях,</w:t>
      </w:r>
    </w:p>
    <w:p>
      <w:pPr>
        <w:pStyle w:val="BlockText"/>
      </w:pPr>
      <w:r>
        <w:t xml:space="preserve">(1.13)</w:t>
      </w:r>
    </w:p>
    <w:p>
      <w:pPr>
        <w:pStyle w:val="BlockText"/>
      </w:pPr>
      <w:r>
        <w:t xml:space="preserve">при преимущественно изгибающих напряжениях (1.13), после чего выполняется редуцирование сечения по (2.5).</w:t>
      </w:r>
    </w:p>
    <w:p>
      <w:pPr>
        <w:pStyle w:val="BlockText"/>
      </w:pPr>
      <w:r>
        <w:t xml:space="preserve">При изгибе в одной плоскости для учёта взаимодействия продольной силы, момента и поперечной силы по правилам Еврокода 3 выполняется проверка:</w:t>
      </w:r>
    </w:p>
    <w:p>
      <w:pPr>
        <w:pStyle w:val="BlockText"/>
      </w:pPr>
      <w:r>
        <w:t xml:space="preserve">(1.14)</w:t>
      </w:r>
    </w:p>
    <w:p>
      <w:pPr>
        <w:pStyle w:val="BlockText"/>
      </w:pPr>
      <w:r>
        <w:t xml:space="preserve">Здесь: — пластический момент сопротивления сечения, состоящего только из редуцированных полок; — пластический момент сопротивления сечения из редуцированных полок и нередуцированной стенки; Qw — предельное сдвигающее усилие в стенке.</w:t>
      </w:r>
    </w:p>
    <w:p>
      <w:pPr>
        <w:pStyle w:val="BlockText"/>
      </w:pPr>
      <w:r>
        <w:t xml:space="preserve">При выполнении условия проверку (1.14) проводить не требуется.</w:t>
      </w:r>
    </w:p>
    <w:p>
      <w:pPr>
        <w:pStyle w:val="BlockText"/>
      </w:pPr>
      <w:r>
        <w:t xml:space="preserve">На рис. 12 представлены диаграммы критических усилий для двух типов составных сечений из тонкостенных гнутых профилей. Если в проверке (1.12) по эквивалентным напряжениям допустить 15%-ное превышение (по требованию СНиП 11-23-81* и СП 53-102-2004), то при одноосном изгибе эту проверку можно не производить — достаточно проверки (1.14) по Еврокоду.</w:t>
      </w:r>
    </w:p>
    <w:p>
      <w:pPr>
        <w:pStyle w:val="BlockText"/>
      </w:pPr>
      <w:r>
        <w:t xml:space="preserve">Рис. 1.12 – Диаграммы критических усилий.</w:t>
      </w:r>
    </w:p>
    <w:p>
      <w:r>
        <w:pict>
          <v:rect style="width:0;height:1.5pt" o:hralign="center" o:hrstd="t" o:hr="t"/>
        </w:pict>
      </w:r>
    </w:p>
    <w:bookmarkEnd w:id="184"/>
    <w:bookmarkStart w:id="185" w:name="обоснование-расчётной-схемы"/>
    <w:p>
      <w:pPr>
        <w:pStyle w:val="3"/>
      </w:pPr>
      <w:r>
        <w:t xml:space="preserve">1.6. Обоснование расчётной схемы</w:t>
      </w:r>
    </w:p>
    <w:p>
      <w:pPr>
        <w:pStyle w:val="BlockText"/>
      </w:pPr>
      <w:r>
        <w:t xml:space="preserve">ТХП — тонкостенный стержень, у которого длина, габарит сечения и толщина стенки являются величинами различного порядка. Применение ЛСТК в несущих и ограждающих конструкциях имеет ряд особенностей, связанных с тонкостенностью, формой сечения и работой соединений.</w:t>
      </w:r>
    </w:p>
    <w:p>
      <w:pPr>
        <w:pStyle w:val="BlockText"/>
      </w:pPr>
      <w:r>
        <w:t xml:space="preserve">Статический расчёт систем из тонкостенных профилей ведётся методом конечных элементов. Конструктивные расчёты стержней, включая задачу определения НДС тонкостенного стержня, выполняются по СНиП II-23-81*. Расчётные сочетания усилий получают по итогам статического расчёта стержневой системы; в качестве расчётных поперечных сечений принимаются редуцированные сечения. При определении расчётных геометрических характеристик профилей учитывается возможное снижение площади рабочего сечения, моментов инерции и сопротивления из-за местной потери устойчивости. Редуцированная площадь сечения граней, потерявших местную устойчивость, определяется с учётом требований Еврокода 3.</w:t>
      </w:r>
    </w:p>
    <w:p>
      <w:pPr>
        <w:pStyle w:val="BlockText"/>
      </w:pPr>
      <w:r>
        <w:t xml:space="preserve">У этого алгоритма есть существенный недостаток.</w:t>
      </w:r>
    </w:p>
    <w:p>
      <w:pPr>
        <w:pStyle w:val="BlockText"/>
      </w:pPr>
      <w:r>
        <w:t xml:space="preserve">Деформированное состояние тонкостенного стержня под нагрузкой не описывается гипотезой плоских сечений, заложенной во всех программных комплексах при создании стержневых конечных элементов. Поперечное сечение тонкостенного стержня помимо трёх линейно независимых перемещений и трёх поворотов имеет ещё одну степень свободы — депланацию. Вследствие стеснённой депланации в поперечном сечении возникают дополнительные напряжения, не учитываемые конечными элементами типа «Пространственный стержень». По величине они могут достигать основных напряжений, а совместное их действие существенно осложняет условия работы конструкции.</w:t>
      </w:r>
    </w:p>
    <w:p>
      <w:pPr>
        <w:pStyle w:val="BlockText"/>
      </w:pPr>
      <w:r>
        <w:t xml:space="preserve">Цель настоящей работы — исследование конструктивных решений и устранение ряда недостатков фермы из ЛСТК. Задача решается на основе объёмного моделирования — более общего и точного подхода по сравнению со стержневым.</w:t>
      </w:r>
    </w:p>
    <w:p>
      <w:r>
        <w:pict>
          <v:rect style="width:0;height:1.5pt" o:hralign="center" o:hrstd="t" o:hr="t"/>
        </w:pict>
      </w:r>
    </w:p>
    <w:bookmarkEnd w:id="185"/>
    <w:bookmarkStart w:id="186" w:name="статический-расчёт"/>
    <w:p>
      <w:pPr>
        <w:pStyle w:val="3"/>
      </w:pPr>
      <w:r>
        <w:t xml:space="preserve">1.7 Статический расчёт</w:t>
      </w:r>
    </w:p>
    <w:p>
      <w:pPr>
        <w:pStyle w:val="FirstParagraph"/>
      </w:pPr>
      <w:r>
        <w:rPr>
          <w:i/>
          <w:iCs/>
        </w:rPr>
        <w:t xml:space="preserve">(раздел содержит преимущественно таблицы и расчётные данные — сохраняется без изменений)</w:t>
      </w:r>
    </w:p>
    <w:p>
      <w:r>
        <w:pict>
          <v:rect style="width:0;height:1.5pt" o:hralign="center" o:hrstd="t" o:hr="t"/>
        </w:pict>
      </w:r>
    </w:p>
    <w:bookmarkEnd w:id="186"/>
    <w:bookmarkStart w:id="187" w:name="конструктивный-расчёт"/>
    <w:p>
      <w:pPr>
        <w:pStyle w:val="3"/>
      </w:pPr>
      <w:r>
        <w:t xml:space="preserve">1.8. Конструктивный расчёт</w:t>
      </w:r>
    </w:p>
    <w:p>
      <w:pPr>
        <w:pStyle w:val="BlockText"/>
      </w:pPr>
      <w:r>
        <w:t xml:space="preserve">Конструктивный расчёт выполняется в расчётном модуле Gen3DIM на усилия, полученные из всех возможных комбинаций нагрузок.</w:t>
      </w:r>
    </w:p>
    <w:p>
      <w:pPr>
        <w:pStyle w:val="BlockText"/>
      </w:pPr>
      <w:r>
        <w:t xml:space="preserve">Специалисты фирмы «ТЕХСОФТ» разработали модуль для конструктивного расчёта элементов с поперечным сечением в виде тонкостенного профиля «ИНСИ». В основу алгоритма положена методика редуцирования по Еврокоду 3 с последующей проверкой прочности и устойчивости по СНиП II-21-81* «Стальные конструкции».</w:t>
      </w:r>
    </w:p>
    <w:p>
      <w:pPr>
        <w:pStyle w:val="BlockText"/>
      </w:pPr>
      <w:r>
        <w:t xml:space="preserve">Проверка несущей способности элементов конструкции выполнялась с использованием этого модуля.</w:t>
      </w:r>
    </w:p>
    <w:p>
      <w:pPr>
        <w:pStyle w:val="BlockText"/>
      </w:pPr>
      <w:r>
        <w:t xml:space="preserve">В приложении А приведены результаты конструктивного расчёта.</w:t>
      </w:r>
    </w:p>
    <w:p>
      <w:r>
        <w:pict>
          <v:rect style="width:0;height:1.5pt" o:hralign="center" o:hrstd="t" o:hr="t"/>
        </w:pict>
      </w:r>
    </w:p>
    <w:bookmarkEnd w:id="187"/>
    <w:bookmarkStart w:id="188" w:name="выводы-по-главе-1"/>
    <w:p>
      <w:pPr>
        <w:pStyle w:val="3"/>
      </w:pPr>
      <w:r>
        <w:t xml:space="preserve">1.9. Выводы по главе 1</w:t>
      </w:r>
    </w:p>
    <w:p>
      <w:pPr>
        <w:pStyle w:val="BlockText"/>
      </w:pPr>
      <w:r>
        <w:t xml:space="preserve">Расчёт в стержневой постановке позволяет получить эпюры усилий и подобрать сечения из условий прочности и устойчивости. Однако он не даёт подробной картины поведения конструкции в околоузловой зоне, не позволяет оценить коэффициент концентрации усилий и не учитывает реальную жёсткость узлов — ни в задаче прочности, ни в задаче устойчивости.</w:t>
      </w:r>
    </w:p>
    <w:p>
      <w:r>
        <w:pict>
          <v:rect style="width:0;height:1.5pt" o:hralign="center" o:hrstd="t" o:hr="t"/>
        </w:pict>
      </w:r>
    </w:p>
    <w:bookmarkEnd w:id="188"/>
    <w:bookmarkEnd w:id="189"/>
    <w:bookmarkStart w:id="198" w:name="Xeacfa60d07ca5eb7ab5f8e4c385985f83414164"/>
    <w:p>
      <w:pPr>
        <w:pStyle w:val="2"/>
      </w:pPr>
      <w:r>
        <w:t xml:space="preserve">Глава 2. Экспериментальная часть и совершенствование методики расчёта ферм из ЛСТК</w:t>
      </w:r>
    </w:p>
    <w:bookmarkStart w:id="190" w:name="X2b3fbd643acd811236f78220f9900508e0457fc"/>
    <w:p>
      <w:pPr>
        <w:pStyle w:val="3"/>
      </w:pPr>
      <w:r>
        <w:t xml:space="preserve">2.1. Численное моделирование образца для эксперимента</w:t>
      </w:r>
    </w:p>
    <w:p>
      <w:pPr>
        <w:pStyle w:val="BlockText"/>
      </w:pPr>
      <w:r>
        <w:t xml:space="preserve">Высокий коэффициент концентрации напряжений обусловлен конструкцией узла. При присоединении профиля к фасонке через стенку продольная сила прикладывается с эксцентриситетом относительно центра тяжести профиля. Момент от внецентренно приложенной нагрузки действует в плоскости наименьшей жёсткости и существенно влияет на характер деформирования и несущую способность растянутого профиля.</w:t>
      </w:r>
    </w:p>
    <w:p>
      <w:pPr>
        <w:pStyle w:val="BlockText"/>
      </w:pPr>
      <w:r>
        <w:t xml:space="preserve">Рис. 2.1 – сетка расчётной модели</w:t>
      </w:r>
    </w:p>
    <w:p>
      <w:pPr>
        <w:pStyle w:val="BlockText"/>
      </w:pPr>
      <w:r>
        <w:t xml:space="preserve">Для оценки влияния внецентренности и изучения НДС образца построена расчётная модель с использованием оболочечных и объёмных конечных элементов. К модели приложена разрушающая нагрузка 165 кН. Расчёт выполнен в ПК ANSYS в конструктивно-нелинейной постановке с линейной работой материала.</w:t>
      </w:r>
    </w:p>
    <w:p>
      <w:pPr>
        <w:pStyle w:val="BlockText"/>
      </w:pPr>
      <w:r>
        <w:t xml:space="preserve">Рис. 2.2 – Геометрическая модель.</w:t>
      </w:r>
    </w:p>
    <w:p>
      <w:pPr>
        <w:pStyle w:val="BlockText"/>
      </w:pPr>
      <w:r>
        <w:t xml:space="preserve">Рис. 2.3 – Конечноэлементная сетка расчётной модели.</w:t>
      </w:r>
    </w:p>
    <w:p>
      <w:pPr>
        <w:pStyle w:val="BlockText"/>
      </w:pPr>
      <w:r>
        <w:t xml:space="preserve">Рис. 2.4 – Деформированная схема образца.</w:t>
      </w:r>
    </w:p>
    <w:p>
      <w:pPr>
        <w:pStyle w:val="BlockText"/>
      </w:pPr>
      <w:r>
        <w:t xml:space="preserve">Рис. 2.5 – Распределение эквивалентных напряжений в образце.</w:t>
      </w:r>
    </w:p>
    <w:p>
      <w:r>
        <w:pict>
          <v:rect style="width:0;height:1.5pt" o:hralign="center" o:hrstd="t" o:hr="t"/>
        </w:pict>
      </w:r>
    </w:p>
    <w:bookmarkEnd w:id="190"/>
    <w:bookmarkStart w:id="191" w:name="натурные-испытания-образцов"/>
    <w:p>
      <w:pPr>
        <w:pStyle w:val="3"/>
      </w:pPr>
      <w:r>
        <w:t xml:space="preserve">2.2. Натурные испытания образцов</w:t>
      </w:r>
    </w:p>
    <w:p>
      <w:pPr>
        <w:pStyle w:val="BlockText"/>
      </w:pPr>
      <w:r>
        <w:t xml:space="preserve">После численного моделирования подготовлены образцы для испытаний на разрушающую нагрузку.</w:t>
      </w:r>
    </w:p>
    <w:p>
      <w:pPr>
        <w:pStyle w:val="BlockText"/>
      </w:pPr>
      <w:r>
        <w:t xml:space="preserve">Рис. 2.6 – Образцы для испытаний.</w:t>
      </w:r>
    </w:p>
    <w:p>
      <w:pPr>
        <w:pStyle w:val="BlockText"/>
      </w:pPr>
      <w:r>
        <w:t xml:space="preserve">Рис. 2.7 – Образцы для испытаний.</w:t>
      </w:r>
    </w:p>
    <w:p>
      <w:pPr>
        <w:pStyle w:val="BlockText"/>
      </w:pPr>
      <w:r>
        <w:t xml:space="preserve">Рис. 2.8 – Одноболтовое соединение.</w:t>
      </w:r>
    </w:p>
    <w:p>
      <w:pPr>
        <w:pStyle w:val="BlockText"/>
      </w:pPr>
      <w:r>
        <w:t xml:space="preserve">Рис. 2.9 – Шестиболтовое соединение.</w:t>
      </w:r>
    </w:p>
    <w:p>
      <w:pPr>
        <w:pStyle w:val="BlockText"/>
      </w:pPr>
      <w:r>
        <w:t xml:space="preserve">Рис. 2.10 – Шестиболтовое соединение.</w:t>
      </w:r>
    </w:p>
    <w:p>
      <w:pPr>
        <w:pStyle w:val="BlockText"/>
      </w:pPr>
      <w:r>
        <w:t xml:space="preserve">Рис. 2. 11 – Диаграмма растяжения образца одноболтового соединения (t=2мм, М20)</w:t>
      </w:r>
    </w:p>
    <w:p>
      <w:pPr>
        <w:pStyle w:val="BlockText"/>
      </w:pPr>
      <w:r>
        <w:t xml:space="preserve">Рис. 2.12 – Диаграмма разрыва образца стальной полосы толщиной 1,85 мм.</w:t>
      </w:r>
    </w:p>
    <w:p>
      <w:pPr>
        <w:pStyle w:val="BlockText"/>
      </w:pPr>
      <w:r>
        <w:t xml:space="preserve">Рис. 2.13 – Диаграмма разрыва образца стальной полосы толщиной 1,4 мм.</w:t>
      </w:r>
    </w:p>
    <w:p>
      <w:pPr>
        <w:pStyle w:val="BlockText"/>
      </w:pPr>
      <w:r>
        <w:t xml:space="preserve">В ходе эксперимента выяснилось, что пластины на 100-тонном прессе создают по окрашенной фасонке силу трения до 8,6 т, после чего начинается проскальзывание. Проблему решили, сняв пластины и закрепив образцы в зажимах с насечкой.</w:t>
      </w:r>
    </w:p>
    <w:p>
      <w:pPr>
        <w:pStyle w:val="BlockText"/>
      </w:pPr>
      <w:r>
        <w:t xml:space="preserve">Таблица 6 Результаты испытаний полос металла</w:t>
      </w:r>
    </w:p>
    <w:p>
      <w:pPr>
        <w:pStyle w:val="FirstParagraph"/>
      </w:pPr>
      <w:r>
        <w:rPr>
          <w:i/>
          <w:iCs/>
        </w:rPr>
        <w:t xml:space="preserve">(таблица сохраняется без изменений)</w:t>
      </w:r>
    </w:p>
    <w:p>
      <w:pPr>
        <w:pStyle w:val="BlockText"/>
      </w:pPr>
      <w:r>
        <w:t xml:space="preserve">Испытания болтовых соединений выявили следующее.</w:t>
      </w:r>
    </w:p>
    <w:p>
      <w:pPr>
        <w:pStyle w:val="BlockText"/>
      </w:pPr>
      <w:r>
        <w:t xml:space="preserve">ПО ОДНОБОЛТОВЫМ СОЕДИНЕНИЯМ:</w:t>
      </w:r>
    </w:p>
    <w:p>
      <w:pPr>
        <w:numPr>
          <w:ilvl w:val="0"/>
          <w:numId w:val="1009"/>
        </w:numPr>
      </w:pPr>
      <w:r>
        <w:t xml:space="preserve">Несущая способность одноболтового соединения превысила теоретическую: коэффициент запаса составил 1,75–2,15 (см. таблицу 7).</w:t>
      </w:r>
    </w:p>
    <w:p>
      <w:pPr>
        <w:numPr>
          <w:ilvl w:val="0"/>
          <w:numId w:val="1009"/>
        </w:numPr>
      </w:pPr>
      <w:r>
        <w:t xml:space="preserve">Разрушение происходит вследствие смятия тонкостенного профиля (см. фото).</w:t>
      </w:r>
    </w:p>
    <w:p>
      <w:pPr>
        <w:numPr>
          <w:ilvl w:val="0"/>
          <w:numId w:val="1009"/>
        </w:numPr>
      </w:pPr>
      <w:r>
        <w:t xml:space="preserve">Прямая зависимость несущей способности от толщины профиля подтверждена.</w:t>
      </w:r>
    </w:p>
    <w:p>
      <w:pPr>
        <w:numPr>
          <w:ilvl w:val="0"/>
          <w:numId w:val="1009"/>
        </w:numPr>
      </w:pPr>
      <w:r>
        <w:t xml:space="preserve">Прямой зависимости от диаметра болта не выявлено — это объясняется характером работы болтового соединения. Наиболее наглядно это проявляется на образцах меньшей толщины.</w:t>
      </w:r>
    </w:p>
    <w:p>
      <w:pPr>
        <w:pStyle w:val="BlockText"/>
      </w:pPr>
      <w:r>
        <w:t xml:space="preserve">ПО МНОГОБОЛТОВЫМ СОЕДИНЕНИЯМ:</w:t>
      </w:r>
    </w:p>
    <w:p>
      <w:pPr>
        <w:numPr>
          <w:ilvl w:val="0"/>
          <w:numId w:val="1010"/>
        </w:numPr>
      </w:pPr>
      <w:r>
        <w:t xml:space="preserve">Несущая способность многоболтового соединения превысила теоретическую: коэффициент запаса составил 1,23–2,0. Для более точного определения этого коэффициента требуется бо́льшее число испытаний.</w:t>
      </w:r>
    </w:p>
    <w:p>
      <w:pPr>
        <w:numPr>
          <w:ilvl w:val="0"/>
          <w:numId w:val="1010"/>
        </w:numPr>
      </w:pPr>
      <w:r>
        <w:t xml:space="preserve">При 2, 4 и 6 болтах разрушение происходит вследствие смятия профиля; при 8, 10, 12 и 14 болтах — вследствие разрыва профиля по ослабленному сечению (см. фото).</w:t>
      </w:r>
    </w:p>
    <w:p>
      <w:pPr>
        <w:numPr>
          <w:ilvl w:val="0"/>
          <w:numId w:val="1010"/>
        </w:numPr>
      </w:pPr>
      <w:r>
        <w:t xml:space="preserve">Большой разброс коэффициента запаса объясняется разницей диаметров отверстий и болтов: болты включаются в работу последовательно. Люфт двух краёв при ослабленных болтах М-3 составил 7 мм.</w:t>
      </w:r>
    </w:p>
    <w:p>
      <w:pPr>
        <w:pStyle w:val="BlockText"/>
      </w:pPr>
      <w:r>
        <w:t xml:space="preserve">Разрыв по ослабленному сечению профиля происходил при нагрузке ниже теоретической несущей способности профиля при центральном растяжении (218 кН): фактические разрушающие нагрузки составили 165–194 кН. Причина — дополнительный изгибающий момент от внецентренного растяжения. Коэффициент запаса в этом случае составляет 0,76–0,89.</w:t>
      </w:r>
    </w:p>
    <w:p>
      <w:pPr>
        <w:pStyle w:val="BlockText"/>
      </w:pPr>
      <w:r>
        <w:t xml:space="preserve">Таблица 7</w:t>
      </w:r>
    </w:p>
    <w:p>
      <w:pPr>
        <w:pStyle w:val="FirstParagraph"/>
      </w:pPr>
      <w:r>
        <w:rPr>
          <w:i/>
          <w:iCs/>
        </w:rPr>
        <w:t xml:space="preserve">(таблица сохраняется без изменений)</w:t>
      </w:r>
    </w:p>
    <w:p>
      <w:pPr>
        <w:pStyle w:val="BlockText"/>
      </w:pPr>
      <w:r>
        <w:t xml:space="preserve">Таблица 8</w:t>
      </w:r>
    </w:p>
    <w:p>
      <w:pPr>
        <w:pStyle w:val="FirstParagraph"/>
      </w:pPr>
      <w:r>
        <w:rPr>
          <w:i/>
          <w:iCs/>
        </w:rPr>
        <w:t xml:space="preserve">(таблица сохраняется без изменений)</w:t>
      </w:r>
    </w:p>
    <w:p>
      <w:r>
        <w:pict>
          <v:rect style="width:0;height:1.5pt" o:hralign="center" o:hrstd="t" o:hr="t"/>
        </w:pict>
      </w:r>
    </w:p>
    <w:bookmarkEnd w:id="191"/>
    <w:bookmarkStart w:id="192" w:name="X39c970e1ef1337cfac61276433954eabdc12612"/>
    <w:p>
      <w:pPr>
        <w:pStyle w:val="3"/>
      </w:pPr>
      <w:r>
        <w:t xml:space="preserve">2.3. Совершенствование методики расчёта несущих элементов рамы из ЛСТК</w:t>
      </w:r>
    </w:p>
    <w:p>
      <w:pPr>
        <w:pStyle w:val="BlockText"/>
      </w:pPr>
      <w:r>
        <w:t xml:space="preserve">Основные проблемы при расчёте рассматриваемых конструкций:</w:t>
      </w:r>
    </w:p>
    <w:p>
      <w:pPr>
        <w:pStyle w:val="Compact"/>
        <w:numPr>
          <w:ilvl w:val="0"/>
          <w:numId w:val="1011"/>
        </w:numPr>
      </w:pPr>
      <w:r>
        <w:t xml:space="preserve">Тонкостенность профилей учтена методикой редуцирования. Для одиночных сечений правомерность метода не вызывает сомнений — это подтверждает многолетний опыт возведения зданий из ЛСТК за рубежом. Для составных сечений сразу возникает вопрос: какие условия обеспечивают совместную работу двух профилей (вид и шаг прикреплений, конструктивные меры по обеспечению местной устойчивости)?</w:t>
      </w:r>
    </w:p>
    <w:p>
      <w:pPr>
        <w:pStyle w:val="BlockText"/>
      </w:pPr>
      <w:r>
        <w:t xml:space="preserve">В данной работе рассматриваются составные сечения профилей фермы и колонны. Расстояние в свету между элементами составляет 100 мм, совместная работа обеспечивается диафрагмами и фасонками с шагом до 800 мм. Шаг принят по конструктивным соображениям и кратен шагу прогонов. Достаточность такого шага расчётом не обоснована.</w:t>
      </w:r>
    </w:p>
    <w:p>
      <w:pPr>
        <w:pStyle w:val="Compact"/>
        <w:numPr>
          <w:ilvl w:val="0"/>
          <w:numId w:val="1012"/>
        </w:numPr>
      </w:pPr>
      <w:r>
        <w:t xml:space="preserve">Вторая проблема — конструирование и расчёт узлов сопряжения. Традиционные методики расчёта металлических конструкций (фланцевые стыки, сварные узлы) применимы к конструкциям из ЛСТК не всегда, а зачастую вовсе неприменимы. Методики, работающие со стержнями, не позволяют оценить концентрацию напряжений в околоузловых зонах.</w:t>
      </w:r>
    </w:p>
    <w:p>
      <w:pPr>
        <w:pStyle w:val="BlockText"/>
      </w:pPr>
      <w:r>
        <w:t xml:space="preserve">Для решения этих задач проанализированы НДС узлов сопряжения несущих конструкций, оценены коэффициенты концентрации напряжений и устойчивость отдельных стержней в составе каркаса.</w:t>
      </w:r>
    </w:p>
    <w:p>
      <w:pPr>
        <w:pStyle w:val="Compact"/>
        <w:numPr>
          <w:ilvl w:val="0"/>
          <w:numId w:val="1013"/>
        </w:numPr>
      </w:pPr>
      <w:r>
        <w:t xml:space="preserve">Проблема стеснённой депланации поперечных сечений стоит менее остро: бисимметричность профилей обеспечивает совпадение центра тяжести и центра изгиба, что исключает работу профилей на кручение при поперечной нагрузке.</w:t>
      </w:r>
    </w:p>
    <w:p>
      <w:pPr>
        <w:pStyle w:val="BlockText"/>
      </w:pPr>
      <w:r>
        <w:t xml:space="preserve">Для решения перечисленных проблем создана объёмная модель фермы. Нагрузки соответствуют наиболее невыгодному симметричному нагружению несущих рам. Расчёт выполнен в ПК ANSYS. С учётом симметрии и объёма задачи смоделирована половина фермы пролётом 18 метров.</w:t>
      </w:r>
    </w:p>
    <w:p>
      <w:pPr>
        <w:pStyle w:val="BlockText"/>
      </w:pPr>
      <w:r>
        <w:t xml:space="preserve">Рис. 2.14 – Узел опирания фермы на крайнюю колонну.</w:t>
      </w:r>
    </w:p>
    <w:p>
      <w:pPr>
        <w:pStyle w:val="BlockText"/>
      </w:pPr>
      <w:r>
        <w:t xml:space="preserve">Рис. 2.15 – Узел опирания фермы на среднюю колонну.</w:t>
      </w:r>
    </w:p>
    <w:p>
      <w:r>
        <w:pict>
          <v:rect style="width:0;height:1.5pt" o:hralign="center" o:hrstd="t" o:hr="t"/>
        </w:pict>
      </w:r>
    </w:p>
    <w:bookmarkEnd w:id="192"/>
    <w:bookmarkStart w:id="193" w:name="Xc507014c873eaffd3dca575bc310c2dcfaf1026"/>
    <w:p>
      <w:pPr>
        <w:pStyle w:val="3"/>
      </w:pPr>
      <w:r>
        <w:t xml:space="preserve">2.3. Алгоритм расчёта в ANSYS Workbench/Multiphysics</w:t>
      </w:r>
    </w:p>
    <w:p>
      <w:pPr>
        <w:pStyle w:val="BlockText"/>
      </w:pPr>
      <w:r>
        <w:t xml:space="preserve">Расчёт выполнялся в модуле ANSYS Workbench/Multiphysics. Расчёт металлической конструкции — это, по существу, решение контактной задачи; в этой области ANSYS Workbench значительно превосходит «классический» ANSYS.</w:t>
      </w:r>
    </w:p>
    <w:p>
      <w:pPr>
        <w:pStyle w:val="BlockText"/>
      </w:pPr>
      <w:r>
        <w:t xml:space="preserve">Ниже представлен алгоритм на примере расчёта фланцевого соединения, разработанный в рамках работы и представленный в статье на Архитектурно-строительном факультете.</w:t>
      </w:r>
    </w:p>
    <w:bookmarkEnd w:id="193"/>
    <w:bookmarkStart w:id="194" w:name="Xbcf8063f3c0463a9dc895a8ddfa12efd52c15d5"/>
    <w:p>
      <w:pPr>
        <w:pStyle w:val="3"/>
      </w:pPr>
      <w:r>
        <w:t xml:space="preserve">Рис. 2.16 – Конечно-элементная модель, деформированная схема модели.</w:t>
      </w:r>
    </w:p>
    <w:p>
      <w:r>
        <w:pict>
          <v:rect style="width:0;height:1.5pt" o:hralign="center" o:hrstd="t" o:hr="t"/>
        </w:pict>
      </w:r>
    </w:p>
    <w:bookmarkEnd w:id="194"/>
    <w:bookmarkStart w:id="195" w:name="X18ef4bc739493428541c7a0e59937505156e0dd"/>
    <w:p>
      <w:pPr>
        <w:pStyle w:val="3"/>
      </w:pPr>
      <w:r>
        <w:t xml:space="preserve">2.5. Статический расчёт фермы с помощью объёмных конечных элементов</w:t>
      </w:r>
    </w:p>
    <w:p>
      <w:pPr>
        <w:pStyle w:val="BlockText"/>
      </w:pPr>
      <w:r>
        <w:t xml:space="preserve">А) Создание геометрии.</w:t>
      </w:r>
    </w:p>
    <w:p>
      <w:pPr>
        <w:pStyle w:val="BlockText"/>
      </w:pPr>
      <w:r>
        <w:t xml:space="preserve">Трёхмерная модель конструкции создана в Autodesk Inventor Professional: программа работает со сборкой из твёрдых тел в параметрических зависимостях, что позволяет варьировать геометрическими параметрами при модельных экспериментах. Затем выполнен экспорт в ANSYS.</w:t>
      </w:r>
    </w:p>
    <w:p>
      <w:pPr>
        <w:pStyle w:val="BlockText"/>
      </w:pPr>
      <w:r>
        <w:t xml:space="preserve">Рис.2.17 – Объёмная модель половины фермы.</w:t>
      </w:r>
    </w:p>
    <w:p>
      <w:pPr>
        <w:pStyle w:val="BlockText"/>
      </w:pPr>
      <w:r>
        <w:t xml:space="preserve">Рис.2.18 – Объёмная модель половины фермы. Вид сбоку.</w:t>
      </w:r>
    </w:p>
    <w:p>
      <w:pPr>
        <w:pStyle w:val="BlockText"/>
      </w:pPr>
      <w:r>
        <w:t xml:space="preserve">Б) Создание конечно-элементной модели.</w:t>
      </w:r>
    </w:p>
    <w:p>
      <w:pPr>
        <w:pStyle w:val="BlockText"/>
      </w:pPr>
      <w:r>
        <w:t xml:space="preserve">На этом этапе тела заменяются конечными элементами: выбирается характерный размер элемента, форма и способ разбиения. Для получения сетки из гексаэдров к фасонкам и накладкам применён метод разбиения MultiZone. Суммарная сетка насчитывает около 200 000 элементов и 770 000 узлов.</w:t>
      </w:r>
    </w:p>
    <w:p>
      <w:pPr>
        <w:pStyle w:val="BlockText"/>
      </w:pPr>
      <w:r>
        <w:t xml:space="preserve">Чем крупнее элементы, тем жёстче модель. В ходе работы грубая сетка влияла на результат на 20–25% — этим объясняется большое число конечных элементов в модели. Возникает практическое ограничение: задача такого масштаба не под силу стандартному персональному компьютеру. Расчёт выполнен на суперкомпьютере ЮУрГУ, что сократило машинное время примерно вдвое.</w:t>
      </w:r>
    </w:p>
    <w:p>
      <w:pPr>
        <w:pStyle w:val="BlockText"/>
      </w:pPr>
      <w:r>
        <w:t xml:space="preserve">Рис. 2.19 – Общий вид конечно-элементной модели.</w:t>
      </w:r>
    </w:p>
    <w:p>
      <w:pPr>
        <w:pStyle w:val="BlockText"/>
      </w:pPr>
      <w:r>
        <w:t xml:space="preserve">Рис. 2.20 – Сетка на центральном опорном узле и нижнем поясе.</w:t>
      </w:r>
    </w:p>
    <w:p>
      <w:pPr>
        <w:pStyle w:val="BlockText"/>
      </w:pPr>
      <w:r>
        <w:t xml:space="preserve">Рис.2.21 – Сетка на раскосе, накладке и фасонке.</w:t>
      </w:r>
    </w:p>
    <w:p>
      <w:pPr>
        <w:pStyle w:val="BlockText"/>
      </w:pPr>
      <w:r>
        <w:t xml:space="preserve">В) Задание граничных и начальных условий, выбор физической модели —</w:t>
      </w:r>
      <w:r>
        <w:t xml:space="preserve"> </w:t>
      </w:r>
      <w:r>
        <w:rPr>
          <w:i/>
          <w:iCs/>
        </w:rPr>
        <w:t xml:space="preserve">препроцессинг.</w:t>
      </w:r>
    </w:p>
    <w:p>
      <w:pPr>
        <w:pStyle w:val="BlockText"/>
      </w:pPr>
      <w:r>
        <w:t xml:space="preserve">Рис. 2.22 – Граничные условия.</w:t>
      </w:r>
    </w:p>
    <w:p>
      <w:pPr>
        <w:pStyle w:val="BlockText"/>
      </w:pPr>
      <w:r>
        <w:t xml:space="preserve">Края фермы опираются шарнирно (B, D); на центр фермы наложено условие симметричности (A, C).</w:t>
      </w:r>
    </w:p>
    <w:p>
      <w:pPr>
        <w:pStyle w:val="BlockText"/>
      </w:pPr>
      <w:r>
        <w:t xml:space="preserve">Рис. 2.23 – Нагрузка.</w:t>
      </w:r>
    </w:p>
    <w:p>
      <w:pPr>
        <w:pStyle w:val="BlockText"/>
      </w:pPr>
      <w:r>
        <w:t xml:space="preserve">Рис. 2.24 – Место приложения нагрузки.</w:t>
      </w:r>
    </w:p>
    <w:p>
      <w:pPr>
        <w:pStyle w:val="BlockText"/>
      </w:pPr>
      <w:r>
        <w:t xml:space="preserve">Силы прикладываются к небольшим площадкам, имитируя опирание прогонов.</w:t>
      </w:r>
    </w:p>
    <w:p>
      <w:pPr>
        <w:pStyle w:val="BlockText"/>
      </w:pPr>
      <w:r>
        <w:t xml:space="preserve">Г) Статический расчёт конструкции выполнен с применением суперкомпьютера ЮУрГУ. Наиболее ресурсоёмкой оказалась задача устойчивости: проанализированы первые 125 форм.</w:t>
      </w:r>
    </w:p>
    <w:p>
      <w:r>
        <w:pict>
          <v:rect style="width:0;height:1.5pt" o:hralign="center" o:hrstd="t" o:hr="t"/>
        </w:pict>
      </w:r>
    </w:p>
    <w:bookmarkEnd w:id="195"/>
    <w:bookmarkStart w:id="196" w:name="результаты-статического-расчёта"/>
    <w:p>
      <w:pPr>
        <w:pStyle w:val="3"/>
      </w:pPr>
      <w:r>
        <w:t xml:space="preserve">2.6. Результаты статического расчёта</w:t>
      </w:r>
    </w:p>
    <w:p>
      <w:pPr>
        <w:pStyle w:val="BlockText"/>
      </w:pPr>
      <w:r>
        <w:t xml:space="preserve">Д) Постпроцессинг. На этом этапе оцениваются распределения нормальных и касательных напряжений, значения относительных удлинений, осевые и полные перемещения.</w:t>
      </w:r>
    </w:p>
    <w:p>
      <w:pPr>
        <w:pStyle w:val="BlockText"/>
      </w:pPr>
      <w:r>
        <w:t xml:space="preserve">Рис. 2.25 – Деформированная схема (масштаб увеличен в 20 раз).</w:t>
      </w:r>
    </w:p>
    <w:p>
      <w:pPr>
        <w:pStyle w:val="BlockText"/>
      </w:pPr>
      <w:r>
        <w:t xml:space="preserve">Рис. 2.26 – Деформированная схема растянутого раскоса из составного профиля (масштаб увеличен).</w:t>
      </w:r>
    </w:p>
    <w:p>
      <w:pPr>
        <w:pStyle w:val="BlockText"/>
      </w:pPr>
      <w:r>
        <w:t xml:space="preserve">При рассмотрении деформированного состояния растянутого раскоса зафиксировано сближение концов профилей суммарно на 2,6 мм. При центральном растяжении такое сближение невозможно — данное конструктивное решение узла вызывает внецентренное растяжение.</w:t>
      </w:r>
    </w:p>
    <w:p>
      <w:pPr>
        <w:pStyle w:val="BlockText"/>
      </w:pPr>
      <w:r>
        <w:t xml:space="preserve">По результатам статического расчёта проверяется прочность конструкции. Нормальные напряжения на площадках пластинчатых элементов не должны превышать предела текучести стали несущего каркаса. Касательные напряжения не должны превышать расчётного сопротивления стали на срез. Эквивалентные напряжения по 4-й теории прочности (Хубера–Мизеса) не должны превышать 1,15 расчётного сопротивления согласно СП 16.13330.2011. В зонах углов загиба эквивалентные напряжения сравниваются с расчётным сопротивлением без повышающего коэффициента — из-за остаточных напряжений от холодной гибки. Для исключения чрезмерного влияния концентраторов напряжения использовалась функция осреднения значений на заданном промежутке.</w:t>
      </w:r>
    </w:p>
    <w:p>
      <w:pPr>
        <w:pStyle w:val="BlockText"/>
      </w:pPr>
      <w:r>
        <w:t xml:space="preserve">Рис. 2.27 – Эквивалентные напряжения. Общий вид.</w:t>
      </w:r>
    </w:p>
    <w:p>
      <w:pPr>
        <w:pStyle w:val="BlockText"/>
      </w:pPr>
      <w:r>
        <w:t xml:space="preserve">Рис. 2.28 – Эквивалентные напряжения в растянутом раскосе.</w:t>
      </w:r>
    </w:p>
    <w:p>
      <w:pPr>
        <w:pStyle w:val="BlockText"/>
      </w:pPr>
      <w:r>
        <w:t xml:space="preserve">Рис. 2.29 – Эквивалентные напряжения в опорном раскосе.</w:t>
      </w:r>
    </w:p>
    <w:p>
      <w:pPr>
        <w:pStyle w:val="BlockText"/>
      </w:pPr>
      <w:r>
        <w:t xml:space="preserve">Рис. 2.30 – Концентрации напряжений от прикрепления в узлах.</w:t>
      </w:r>
    </w:p>
    <w:p>
      <w:r>
        <w:pict>
          <v:rect style="width:0;height:1.5pt" o:hralign="center" o:hrstd="t" o:hr="t"/>
        </w:pict>
      </w:r>
    </w:p>
    <w:bookmarkEnd w:id="196"/>
    <w:bookmarkStart w:id="197" w:name="выводы-по-главе-2"/>
    <w:p>
      <w:pPr>
        <w:pStyle w:val="3"/>
      </w:pPr>
      <w:r>
        <w:t xml:space="preserve">2.6. Выводы по главе 2</w:t>
      </w:r>
    </w:p>
    <w:p>
      <w:pPr>
        <w:pStyle w:val="BlockText"/>
      </w:pPr>
      <w:r>
        <w:t xml:space="preserve">Объёмное моделирование позволило оценить искривление силовых линий вблизи узлов, получить значения напряжений в любой точке конструкции и перемещения узлов. Расчёт показал: из-за нерациональной конструкции узла, в которой усилие передаётся только через стенку профиля, концентрация напряжений в узловой зоне достигает двукратной. Этот фактор существенно влияет на НДС и не учитывается в стержневой модели.</w:t>
      </w:r>
    </w:p>
    <w:p>
      <w:r>
        <w:pict>
          <v:rect style="width:0;height:1.5pt" o:hralign="center" o:hrstd="t" o:hr="t"/>
        </w:pict>
      </w:r>
    </w:p>
    <w:bookmarkEnd w:id="197"/>
    <w:bookmarkEnd w:id="198"/>
    <w:bookmarkStart w:id="204" w:name="Xc1cd76c95e651020384d9afbd241a6202b022ad"/>
    <w:p>
      <w:pPr>
        <w:pStyle w:val="2"/>
      </w:pPr>
      <w:r>
        <w:t xml:space="preserve">Глава 3. Численное моделирование в ПК ANSYS фермы из ЛСТК на устойчивость и модифицированной фермы</w:t>
      </w:r>
    </w:p>
    <w:bookmarkStart w:id="199" w:name="расчёт-на-устойчивость-фермы-из-лстк"/>
    <w:p>
      <w:pPr>
        <w:pStyle w:val="3"/>
      </w:pPr>
      <w:r>
        <w:t xml:space="preserve">3.1. Расчёт на устойчивость фермы из ЛСТК</w:t>
      </w:r>
    </w:p>
    <w:p>
      <w:pPr>
        <w:pStyle w:val="BlockText"/>
      </w:pPr>
      <w:r>
        <w:t xml:space="preserve">После статического расчёта объёмной модели фермы из ЛСТК выполнен расчёт на устойчивость.</w:t>
      </w:r>
    </w:p>
    <w:p>
      <w:pPr>
        <w:pStyle w:val="BlockText"/>
      </w:pPr>
      <w:r>
        <w:t xml:space="preserve">Расчёт на устойчивость показывает, во сколько раз нужно пропорционально увеличить нагрузку нелинейной комбинации, чтобы система потеряла устойчивость по одной из определённых форм. Объёмная модель учитывает реальные коэффициенты защемления стержней в узлах и влияние окружающей конструкции на элемент, теряющий устойчивость.</w:t>
      </w:r>
    </w:p>
    <w:p>
      <w:pPr>
        <w:pStyle w:val="BlockText"/>
      </w:pPr>
      <w:r>
        <w:t xml:space="preserve">Для задачи устойчивости задано количество искомых форм — 125. Каждой форме соответствует коэффициент запаса. Поскольку расчётная модель не учитывает возможных дефектов и рассматривается идеальная конструкция, результаты корректируются понижающим коэффициентом 1,8 — в соответствии с анализом Еврокода и требованиями СП. Для более точного значения этого коэффициента необходимы дополнительные исследования.</w:t>
      </w:r>
    </w:p>
    <w:p>
      <w:pPr>
        <w:pStyle w:val="BlockText"/>
      </w:pPr>
      <w:r>
        <w:t xml:space="preserve">В данной задаче потеря устойчивости наблюдается в двух формах: выход сжатого раскоса из плоскости и общий выход из плоскости верхнего пояса фермы.</w:t>
      </w:r>
    </w:p>
    <w:p>
      <w:pPr>
        <w:pStyle w:val="BlockText"/>
      </w:pPr>
      <w:r>
        <w:t xml:space="preserve">Запас по устойчивости по форме выхода сжатого раскоса: 5,1/1,8 = 2,8. По общей форме: 8,1/1,8 = 4,5.</w:t>
      </w:r>
    </w:p>
    <w:p>
      <w:pPr>
        <w:pStyle w:val="BlockText"/>
      </w:pPr>
      <w:r>
        <w:t xml:space="preserve">Рис. 3.1 – Общая форма потери устойчивости с коэффициентом запаса 4.5.</w:t>
      </w:r>
    </w:p>
    <w:p>
      <w:pPr>
        <w:pStyle w:val="BlockText"/>
      </w:pPr>
      <w:r>
        <w:t xml:space="preserve">Рис. 3.2 – Выход сжатого раскоса из плоскости с коэффициентом запаса 2.8.</w:t>
      </w:r>
    </w:p>
    <w:p>
      <w:r>
        <w:pict>
          <v:rect style="width:0;height:1.5pt" o:hralign="center" o:hrstd="t" o:hr="t"/>
        </w:pict>
      </w:r>
    </w:p>
    <w:bookmarkEnd w:id="199"/>
    <w:bookmarkStart w:id="200" w:name="X6b675518516aefaeaff6270f3ce51e2e7980a05"/>
    <w:p>
      <w:pPr>
        <w:pStyle w:val="3"/>
      </w:pPr>
      <w:r>
        <w:t xml:space="preserve">3.2. Сравнение результатов расчёта объёмной и стержневой моделей</w:t>
      </w:r>
    </w:p>
    <w:p>
      <w:pPr>
        <w:pStyle w:val="BlockText"/>
      </w:pPr>
      <w:r>
        <w:t xml:space="preserve">После получения результатов статического расчёта объёмной модели выполнено сравнение со стержневой системой.</w:t>
      </w:r>
    </w:p>
    <w:p>
      <w:pPr>
        <w:pStyle w:val="BlockText"/>
      </w:pPr>
      <w:r>
        <w:t xml:space="preserve">Критерии сравнения — опорные реакции и перемещения узлов. Расхождение по перемещениям составило около 6% в пользу стержневой модели, по опорным реакциям — около 1%.</w:t>
      </w:r>
    </w:p>
    <w:p>
      <w:pPr>
        <w:pStyle w:val="BlockText"/>
      </w:pPr>
      <w:r>
        <w:t xml:space="preserve">Рис. 3.3 – Перемещения в объёмной и стержневой моделях (мм).</w:t>
      </w:r>
    </w:p>
    <w:p>
      <w:pPr>
        <w:pStyle w:val="BlockText"/>
      </w:pPr>
      <w:r>
        <w:t xml:space="preserve">Рис. 3.4 – Опорные реакции в объёмной и стержневой моделях (кН).</w:t>
      </w:r>
    </w:p>
    <w:p>
      <w:pPr>
        <w:pStyle w:val="BlockText"/>
      </w:pPr>
      <w:r>
        <w:t xml:space="preserve">Расхождение объясняется двумя причинами. В объёмной модели собственный вес конструкций учтён не в полном объёме: не включены диафрагмы и фасонки. В оболочечной модели нагрузка прикладывалась местно — в местах расположения прогонов, тогда как в стержневой модели использовалась равномерно распределённая по длине нагрузка.</w:t>
      </w:r>
    </w:p>
    <w:p>
      <w:r>
        <w:pict>
          <v:rect style="width:0;height:1.5pt" o:hralign="center" o:hrstd="t" o:hr="t"/>
        </w:pict>
      </w:r>
    </w:p>
    <w:bookmarkEnd w:id="200"/>
    <w:bookmarkStart w:id="201" w:name="расчёт-модифицированной-фермы"/>
    <w:p>
      <w:pPr>
        <w:pStyle w:val="3"/>
      </w:pPr>
      <w:r>
        <w:t xml:space="preserve">3.3. Расчёт модифицированной фермы</w:t>
      </w:r>
    </w:p>
    <w:p>
      <w:pPr>
        <w:pStyle w:val="BlockText"/>
      </w:pPr>
      <w:r>
        <w:t xml:space="preserve">Внесены следующие изменения:</w:t>
      </w:r>
    </w:p>
    <w:p>
      <w:pPr>
        <w:numPr>
          <w:ilvl w:val="0"/>
          <w:numId w:val="1014"/>
        </w:numPr>
      </w:pPr>
      <w:r>
        <w:t xml:space="preserve">Нижний пояс заменён на сварной двутавр;</w:t>
      </w:r>
    </w:p>
    <w:p>
      <w:pPr>
        <w:numPr>
          <w:ilvl w:val="0"/>
          <w:numId w:val="1014"/>
        </w:numPr>
      </w:pPr>
      <w:r>
        <w:t xml:space="preserve">Сечение растянутых раскосов заменено на одиночный профиль, положенный на бок, — это изменило конструкцию узлов.</w:t>
      </w:r>
    </w:p>
    <w:p>
      <w:pPr>
        <w:pStyle w:val="BlockText"/>
      </w:pPr>
      <w:r>
        <w:t xml:space="preserve">После выявления слабых мест модели и подтверждения её статической эквивалентности стержневому расчёту в сертифицированном ПК MicroFe изменения внесены в конструкцию фермы, выполнен расчёт в объёмной постановке по алгоритму главы 2 и оценён эффект.</w:t>
      </w:r>
    </w:p>
    <w:p>
      <w:pPr>
        <w:pStyle w:val="BlockText"/>
      </w:pPr>
      <w:r>
        <w:t xml:space="preserve">Рис. 3.5 – Деформированная схема модифицированной фермы.</w:t>
      </w:r>
    </w:p>
    <w:p>
      <w:pPr>
        <w:pStyle w:val="BlockText"/>
      </w:pPr>
      <w:r>
        <w:t xml:space="preserve">По сравнению с базовой фермой прогибы уменьшились на 20%.</w:t>
      </w:r>
    </w:p>
    <w:p>
      <w:pPr>
        <w:pStyle w:val="BlockText"/>
      </w:pPr>
      <w:r>
        <w:t xml:space="preserve">Рис. 3.6 – Напряжённое состояние в элементах конструкции.</w:t>
      </w:r>
    </w:p>
    <w:p>
      <w:pPr>
        <w:pStyle w:val="BlockText"/>
      </w:pPr>
      <w:r>
        <w:t xml:space="preserve">Рис.3.7 – Напряжённое состояние в элементах конструкции.</w:t>
      </w:r>
    </w:p>
    <w:p>
      <w:pPr>
        <w:pStyle w:val="BlockText"/>
      </w:pPr>
      <w:r>
        <w:t xml:space="preserve">Концентрация напряжений снизилась, изополя выровнялись — конструкция приблизилась к равнопрочной.</w:t>
      </w:r>
    </w:p>
    <w:p>
      <w:pPr>
        <w:pStyle w:val="BlockText"/>
      </w:pPr>
      <w:r>
        <w:t xml:space="preserve">Рис. 3.8 – Напряжённое состояние в месте примыкания растянутого раскоса к узлу.</w:t>
      </w:r>
    </w:p>
    <w:p>
      <w:pPr>
        <w:pStyle w:val="BlockText"/>
      </w:pPr>
      <w:r>
        <w:t xml:space="preserve">Предложенное решение узла снизило коэффициент концентрации с 200% до 112%, что позволяет уменьшить сечение профиля.</w:t>
      </w:r>
    </w:p>
    <w:p>
      <w:pPr>
        <w:pStyle w:val="BlockText"/>
      </w:pPr>
      <w:r>
        <w:t xml:space="preserve">Рис. 3.9 – Выход сжатого раскоса из плоскости с коэффициентом запаса 4.2.</w:t>
      </w:r>
    </w:p>
    <w:p>
      <w:pPr>
        <w:pStyle w:val="BlockText"/>
      </w:pPr>
      <w:r>
        <w:t xml:space="preserve">Коэффициент запаса по устойчивости вырос в 1,5 раза по сравнению с базовой фермой: увеличилась сопротивляемость взаимному сдвигу двух полуферм.</w:t>
      </w:r>
    </w:p>
    <w:p>
      <w:r>
        <w:pict>
          <v:rect style="width:0;height:1.5pt" o:hralign="center" o:hrstd="t" o:hr="t"/>
        </w:pict>
      </w:r>
    </w:p>
    <w:bookmarkEnd w:id="201"/>
    <w:bookmarkStart w:id="202" w:name="экономические-показатели"/>
    <w:p>
      <w:pPr>
        <w:pStyle w:val="3"/>
      </w:pPr>
      <w:r>
        <w:t xml:space="preserve">3.4. Экономические показатели</w:t>
      </w:r>
    </w:p>
    <w:p>
      <w:pPr>
        <w:pStyle w:val="BlockText"/>
      </w:pPr>
      <w:r>
        <w:t xml:space="preserve">Спецификация металла на базовую ферму.</w:t>
      </w:r>
    </w:p>
    <w:p>
      <w:pPr>
        <w:pStyle w:val="BlockText"/>
      </w:pPr>
      <w:r>
        <w:t xml:space="preserve">Таблица 9.</w:t>
      </w:r>
    </w:p>
    <w:p>
      <w:pPr>
        <w:pStyle w:val="BlockText"/>
      </w:pPr>
      <w:r>
        <w:t xml:space="preserve">Затраты на оцинкованный профиль: 100.7*1.25*1630.2=205201 руб.</w:t>
      </w:r>
    </w:p>
    <w:p>
      <w:pPr>
        <w:pStyle w:val="BlockText"/>
      </w:pPr>
      <w:r>
        <w:t xml:space="preserve">Затраты на чёрный листовой профиль: 69 *468=32292 руб.</w:t>
      </w:r>
    </w:p>
    <w:p>
      <w:pPr>
        <w:pStyle w:val="BlockText"/>
      </w:pPr>
      <w:r>
        <w:t xml:space="preserve">Затраты на чёрный сортовой профиль: 76*59.6=4529 руб.</w:t>
      </w:r>
    </w:p>
    <w:p>
      <w:pPr>
        <w:pStyle w:val="BlockText"/>
      </w:pPr>
      <w:r>
        <w:t xml:space="preserve">Итого: 242000 руб.</w:t>
      </w:r>
    </w:p>
    <w:p>
      <w:pPr>
        <w:pStyle w:val="BlockText"/>
      </w:pPr>
      <w:r>
        <w:t xml:space="preserve">Спецификация металла на модифицированную ферму.</w:t>
      </w:r>
    </w:p>
    <w:p>
      <w:pPr>
        <w:pStyle w:val="BlockText"/>
      </w:pPr>
      <w:r>
        <w:t xml:space="preserve">Таблица 10.</w:t>
      </w:r>
    </w:p>
    <w:p>
      <w:pPr>
        <w:pStyle w:val="BlockText"/>
      </w:pPr>
      <w:r>
        <w:t xml:space="preserve">Затраты на оцинкованный профиль: 100.7*1.25*1091.8=137430 руб.</w:t>
      </w:r>
    </w:p>
    <w:p>
      <w:pPr>
        <w:pStyle w:val="BlockText"/>
      </w:pPr>
      <w:r>
        <w:t xml:space="preserve">Затраты на чёрный листовой профиль: 69*1112.8=76783 руб.</w:t>
      </w:r>
    </w:p>
    <w:p>
      <w:pPr>
        <w:pStyle w:val="BlockText"/>
      </w:pPr>
      <w:r>
        <w:t xml:space="preserve">Затраты на чёрный сортовой профиль: 76*27.2=2067 руб. Итого: 216280 руб.</w:t>
      </w:r>
    </w:p>
    <w:p>
      <w:pPr>
        <w:pStyle w:val="BlockText"/>
      </w:pPr>
      <w:r>
        <w:t xml:space="preserve">Сравнительный анализ:</w:t>
      </w:r>
    </w:p>
    <w:p>
      <w:pPr>
        <w:pStyle w:val="BlockText"/>
      </w:pPr>
      <w:r>
        <w:t xml:space="preserve">Стоимость исследуемой фермы — 242 000 рублей.</w:t>
      </w:r>
    </w:p>
    <w:p>
      <w:pPr>
        <w:pStyle w:val="BlockText"/>
      </w:pPr>
      <w:r>
        <w:t xml:space="preserve">Стоимость предложенной фермы — 216 280 рублей.</w:t>
      </w:r>
    </w:p>
    <w:p>
      <w:pPr>
        <w:pStyle w:val="BlockText"/>
      </w:pPr>
      <w:r>
        <w:t xml:space="preserve">Рис. 7.6 – Сравнение стоимости фермы.</w:t>
      </w:r>
    </w:p>
    <w:p>
      <w:pPr>
        <w:pStyle w:val="BlockText"/>
      </w:pPr>
      <w:r>
        <w:t xml:space="preserve">Экономия по стоимости составляет 10,6%.</w:t>
      </w:r>
    </w:p>
    <w:p>
      <w:r>
        <w:pict>
          <v:rect style="width:0;height:1.5pt" o:hralign="center" o:hrstd="t" o:hr="t"/>
        </w:pict>
      </w:r>
    </w:p>
    <w:bookmarkEnd w:id="202"/>
    <w:bookmarkStart w:id="203" w:name="выводы-по-главе-3"/>
    <w:p>
      <w:pPr>
        <w:pStyle w:val="3"/>
      </w:pPr>
      <w:r>
        <w:t xml:space="preserve">3.5. Выводы по главе 3</w:t>
      </w:r>
    </w:p>
    <w:p>
      <w:pPr>
        <w:pStyle w:val="BlockText"/>
      </w:pPr>
      <w:r>
        <w:t xml:space="preserve">Анализ устойчивости показал: несмотря на то, что радиус инерции составного сечения из плоскости выше, чем у одиночного, из-за неполной совместной работы наблюдается ранняя потеря устойчивости. Накладки не обеспечивают достаточной жёсткости для сдерживания взаимного сдвига профилей в продольном направлении, что нарушает гипотезу плоских сечений. Для корректного определения коэффициента расчётной длины нужно решать задачу устойчивости с учётом возможного сдвига. С экономической точки зрения, при имеющемся большом запасе, это нецелесообразно.</w:t>
      </w:r>
    </w:p>
    <w:p>
      <w:pPr>
        <w:pStyle w:val="BlockText"/>
      </w:pPr>
      <w:r>
        <w:t xml:space="preserve">Разработанная методика позволила усовершенствовать конструктивное решение узлов и стержней: устойчивость отдельных стержней повысилась в 1,5 раза, жёсткость конструкции — на 20%, стоимость фермы снизилась на 10,6%. Установлено уменьшение расчётной длины составного сечения из плоскости вследствие неполной совместной работы профилей.</w:t>
      </w:r>
    </w:p>
    <w:p>
      <w:r>
        <w:pict>
          <v:rect style="width:0;height:1.5pt" o:hralign="center" o:hrstd="t" o:hr="t"/>
        </w:pict>
      </w:r>
    </w:p>
    <w:bookmarkEnd w:id="203"/>
    <w:bookmarkEnd w:id="204"/>
    <w:bookmarkStart w:id="205" w:name="заключение"/>
    <w:p>
      <w:pPr>
        <w:pStyle w:val="2"/>
      </w:pPr>
      <w:r>
        <w:t xml:space="preserve">ЗАКЛЮЧЕНИЕ</w:t>
      </w:r>
    </w:p>
    <w:p>
      <w:pPr>
        <w:pStyle w:val="BlockText"/>
      </w:pPr>
      <w:r>
        <w:t xml:space="preserve">В ходе работы проанализирована ферма из ЛСТК пролётом 2×18 метров. Получены следующие результаты.</w:t>
      </w:r>
    </w:p>
    <w:p>
      <w:pPr>
        <w:numPr>
          <w:ilvl w:val="0"/>
          <w:numId w:val="1015"/>
        </w:numPr>
      </w:pPr>
      <w:r>
        <w:t xml:space="preserve">Выявлена недостаточность стержневой модели относительно объёмной в части: 1) оценки концентрации напряжений в околоузловых зонах; 2) учёта влияния защемления стержней.</w:t>
      </w:r>
    </w:p>
    <w:p>
      <w:pPr>
        <w:numPr>
          <w:ilvl w:val="0"/>
          <w:numId w:val="1015"/>
        </w:numPr>
      </w:pPr>
      <w:r>
        <w:t xml:space="preserve">Получены критические усилия с учётом реального защемления стержней в узлах для оценки устойчивости в плоскости и из плоскости.</w:t>
      </w:r>
    </w:p>
    <w:p>
      <w:pPr>
        <w:numPr>
          <w:ilvl w:val="0"/>
          <w:numId w:val="1015"/>
        </w:numPr>
      </w:pPr>
      <w:r>
        <w:t xml:space="preserve">Испытания болтовых соединений выявили несоответствие расчётных и фактических усилий. Методику расчёта болтовых соединений для ЛСТК необходимо уточнить: предельное состояние по смятию металла наступает значительно раньше, чем по срезу болтов. Зафиксировано неравномерное распределение усилий между болтами в многоболтовом узле.</w:t>
      </w:r>
    </w:p>
    <w:p>
      <w:pPr>
        <w:numPr>
          <w:ilvl w:val="0"/>
          <w:numId w:val="1015"/>
        </w:numPr>
      </w:pPr>
      <w:r>
        <w:t xml:space="preserve">Для повышения запаса по прочности и устойчивости, а также оптимизации конструкции по прочности, жёсткости и стоимости предложены следующие изменения:</w:t>
      </w:r>
    </w:p>
    <w:p>
      <w:pPr>
        <w:numPr>
          <w:ilvl w:val="0"/>
          <w:numId w:val="1016"/>
        </w:numPr>
      </w:pPr>
      <w:r>
        <w:t xml:space="preserve">Вместо сечения 2×ПС применить одиночный профиль ПГС-СИГМА в положении на ребро. Это повысит сопротивляемость взаимному сдвигу полуферм, упростит монтаж, сэкономит металл на накладках и позволит устранить внецентренное приложение осевой нагрузки в узлах.</w:t>
      </w:r>
    </w:p>
    <w:p>
      <w:pPr>
        <w:numPr>
          <w:ilvl w:val="0"/>
          <w:numId w:val="1016"/>
        </w:numPr>
      </w:pPr>
      <w:r>
        <w:t xml:space="preserve">Нижний пояс заменить двутавром из «чёрного» металла: монтаж упрощается, конструкция дешевеет, эффективная высота фермы увеличивается при уменьшении строительной высоты.</w:t>
      </w:r>
    </w:p>
    <w:p>
      <w:pPr>
        <w:numPr>
          <w:ilvl w:val="0"/>
          <w:numId w:val="1017"/>
        </w:numPr>
      </w:pPr>
      <w:r>
        <w:t xml:space="preserve">Разработанная методика позволила усовершенствовать конструктивное решение узлов и стержней: устойчивость отдельных стержней повысилась в 1,5 раза, жёсткость конструкции — на 20%, коэффициенты концентрации напряжений снизились до 5 раз, стоимость фермы уменьшилась примерно на 10%.</w:t>
      </w:r>
    </w:p>
    <w:p>
      <w:pPr>
        <w:numPr>
          <w:ilvl w:val="0"/>
          <w:numId w:val="1017"/>
        </w:numPr>
      </w:pPr>
      <w:r>
        <w:t xml:space="preserve">Для стабильной работы многоболтовых соединений целесообразно уменьшать разность диаметров отверстий и болтов, чтобы болты включались в работу одновременно, а не последовательно.</w:t>
      </w:r>
    </w:p>
    <w:p>
      <w:pPr>
        <w:pStyle w:val="BlockText"/>
      </w:pPr>
      <w:r>
        <w:t xml:space="preserve">Работа дала опыт объёмного моделирования и проведения экспериментов, необходимый для дальнейшего решения сложных исследовательских задач.</w:t>
      </w:r>
    </w:p>
    <w:bookmarkEnd w:id="205"/>
    <w:bookmarkEnd w:id="206"/>
    <w:sectPr w:rsidR="00E12224">
      <w:headerReference r:id="rId7" w:type="even"/>
      <w:headerReference r:id="rId8" w:type="default"/>
      <w:headerReference r:id="rId9" w:type="first"/>
      <w:pgSz w:h="16838" w:w="11906"/>
      <w:pgMar w:bottom="746" w:footer="720" w:gutter="0" w:header="720" w:left="1416" w:right="564" w:top="78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12224" w:rsidRDefault="00E12224">
    <w:pPr>
      <w:spacing w:after="160"/>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12224" w:rsidRDefault="00E12224">
    <w:pPr>
      <w:spacing w:after="160"/>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12224" w:rsidRDefault="00E12224">
    <w:pPr>
      <w:spacing w:after="160"/>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12224" w:rsidRDefault="00D5171F">
    <w:pPr>
      <w:spacing w:after="0"/>
      <w:ind w:left="32" w:firstLine="0"/>
      <w:jc w:val="center"/>
    </w:pPr>
    <w:r>
      <w:fldChar w:fldCharType="begin"/>
    </w:r>
    <w:r>
      <w:instrText xml:space="preserve"> PAGE   \* MERGEFORMAT </w:instrText>
    </w:r>
    <w:r>
      <w:fldChar w:fldCharType="separate"/>
    </w:r>
    <w:r>
      <w:t>4</w:t>
    </w:r>
    <w:r>
      <w:fldChar w:fldCharType="end"/>
    </w:r>
    <w:r>
      <w:t xml:space="preserve"> </w:t>
    </w:r>
  </w:p>
  <w:p w:rsidR="00E12224" w:rsidRDefault="00D5171F">
    <w:pPr>
      <w:spacing w:after="0"/>
      <w:ind w:left="521"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12224" w:rsidRDefault="00D5171F">
    <w:pPr>
      <w:spacing w:after="0"/>
      <w:ind w:left="32" w:firstLine="0"/>
      <w:jc w:val="center"/>
    </w:pPr>
    <w:r>
      <w:fldChar w:fldCharType="begin"/>
    </w:r>
    <w:r>
      <w:instrText xml:space="preserve"> PAGE   \* MERGEFORMAT </w:instrText>
    </w:r>
    <w:r>
      <w:fldChar w:fldCharType="separate"/>
    </w:r>
    <w:r>
      <w:t>4</w:t>
    </w:r>
    <w:r>
      <w:fldChar w:fldCharType="end"/>
    </w:r>
    <w:r>
      <w:t xml:space="preserve"> </w:t>
    </w:r>
  </w:p>
  <w:p w:rsidR="00E12224" w:rsidRDefault="00D5171F">
    <w:pPr>
      <w:spacing w:after="0"/>
      <w:ind w:left="521"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12224" w:rsidRDefault="00D5171F">
    <w:pPr>
      <w:spacing w:after="0"/>
      <w:ind w:left="32" w:firstLine="0"/>
      <w:jc w:val="center"/>
    </w:pPr>
    <w:r>
      <w:fldChar w:fldCharType="begin"/>
    </w:r>
    <w:r>
      <w:instrText xml:space="preserve"> PAGE   \* MERGEFORMAT </w:instrText>
    </w:r>
    <w:r>
      <w:fldChar w:fldCharType="separate"/>
    </w:r>
    <w:r>
      <w:t>4</w:t>
    </w:r>
    <w:r>
      <w:fldChar w:fldCharType="end"/>
    </w:r>
    <w:r>
      <w:t xml:space="preserve"> </w:t>
    </w:r>
  </w:p>
  <w:p w:rsidR="00E12224" w:rsidRDefault="00D5171F">
    <w:pPr>
      <w:spacing w:after="0"/>
      <w:ind w:left="521" w:firstLine="0"/>
      <w:jc w:val="left"/>
    </w:pPr>
    <w:r>
      <w:t xml:space="preserve"> </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01455F2F"/>
    <w:multiLevelType w:val="hybridMultilevel"/>
    <w:tmpl w:val="9732D5B2"/>
    <w:lvl w:ilvl="0" w:tplc="9D1A84DA">
      <w:start w:val="1"/>
      <w:numFmt w:val="decimal"/>
      <w:lvlText w:val="%1."/>
      <w:lvlJc w:val="left"/>
      <w:pPr>
        <w:ind w:left="50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1" w:tplc="13DC5716">
      <w:start w:val="1"/>
      <w:numFmt w:val="lowerLetter"/>
      <w:lvlText w:val="%2"/>
      <w:lvlJc w:val="left"/>
      <w:pPr>
        <w:ind w:left="178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2" w:tplc="685E465A">
      <w:start w:val="1"/>
      <w:numFmt w:val="lowerRoman"/>
      <w:lvlText w:val="%3"/>
      <w:lvlJc w:val="left"/>
      <w:pPr>
        <w:ind w:left="250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3" w:tplc="658635FE">
      <w:start w:val="1"/>
      <w:numFmt w:val="decimal"/>
      <w:lvlText w:val="%4"/>
      <w:lvlJc w:val="left"/>
      <w:pPr>
        <w:ind w:left="322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4" w:tplc="C86427D8">
      <w:start w:val="1"/>
      <w:numFmt w:val="lowerLetter"/>
      <w:lvlText w:val="%5"/>
      <w:lvlJc w:val="left"/>
      <w:pPr>
        <w:ind w:left="394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5" w:tplc="0D4EEA58">
      <w:start w:val="1"/>
      <w:numFmt w:val="lowerRoman"/>
      <w:lvlText w:val="%6"/>
      <w:lvlJc w:val="left"/>
      <w:pPr>
        <w:ind w:left="466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6" w:tplc="F9C6B650">
      <w:start w:val="1"/>
      <w:numFmt w:val="decimal"/>
      <w:lvlText w:val="%7"/>
      <w:lvlJc w:val="left"/>
      <w:pPr>
        <w:ind w:left="538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7" w:tplc="A050A712">
      <w:start w:val="1"/>
      <w:numFmt w:val="lowerLetter"/>
      <w:lvlText w:val="%8"/>
      <w:lvlJc w:val="left"/>
      <w:pPr>
        <w:ind w:left="610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8" w:tplc="C6CAAE56">
      <w:start w:val="1"/>
      <w:numFmt w:val="lowerRoman"/>
      <w:lvlText w:val="%9"/>
      <w:lvlJc w:val="left"/>
      <w:pPr>
        <w:ind w:left="682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abstractNum>
  <w:abstractNum w15:restartNumberingAfterBreak="0" w:abstractNumId="1">
    <w:nsid w:val="032436C6"/>
    <w:multiLevelType w:val="hybridMultilevel"/>
    <w:tmpl w:val="182EFE2A"/>
    <w:lvl w:ilvl="0" w:tplc="48CE656E">
      <w:start w:val="5"/>
      <w:numFmt w:val="decimal"/>
      <w:lvlText w:val="%1."/>
      <w:lvlJc w:val="left"/>
      <w:pPr>
        <w:ind w:left="50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1" w:tplc="BE06A736">
      <w:start w:val="1"/>
      <w:numFmt w:val="lowerLetter"/>
      <w:lvlText w:val="%2"/>
      <w:lvlJc w:val="left"/>
      <w:pPr>
        <w:ind w:left="178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2" w:tplc="6A90987A">
      <w:start w:val="1"/>
      <w:numFmt w:val="lowerRoman"/>
      <w:lvlText w:val="%3"/>
      <w:lvlJc w:val="left"/>
      <w:pPr>
        <w:ind w:left="250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3" w:tplc="08BC94DE">
      <w:start w:val="1"/>
      <w:numFmt w:val="decimal"/>
      <w:lvlText w:val="%4"/>
      <w:lvlJc w:val="left"/>
      <w:pPr>
        <w:ind w:left="322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4" w:tplc="899EF48A">
      <w:start w:val="1"/>
      <w:numFmt w:val="lowerLetter"/>
      <w:lvlText w:val="%5"/>
      <w:lvlJc w:val="left"/>
      <w:pPr>
        <w:ind w:left="394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5" w:tplc="003A24A2">
      <w:start w:val="1"/>
      <w:numFmt w:val="lowerRoman"/>
      <w:lvlText w:val="%6"/>
      <w:lvlJc w:val="left"/>
      <w:pPr>
        <w:ind w:left="466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6" w:tplc="A77CD244">
      <w:start w:val="1"/>
      <w:numFmt w:val="decimal"/>
      <w:lvlText w:val="%7"/>
      <w:lvlJc w:val="left"/>
      <w:pPr>
        <w:ind w:left="538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7" w:tplc="F9C6BA22">
      <w:start w:val="1"/>
      <w:numFmt w:val="lowerLetter"/>
      <w:lvlText w:val="%8"/>
      <w:lvlJc w:val="left"/>
      <w:pPr>
        <w:ind w:left="610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8" w:tplc="470AA1AE">
      <w:start w:val="1"/>
      <w:numFmt w:val="lowerRoman"/>
      <w:lvlText w:val="%9"/>
      <w:lvlJc w:val="left"/>
      <w:pPr>
        <w:ind w:left="682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abstractNum>
  <w:abstractNum w15:restartNumberingAfterBreak="0" w:abstractNumId="2">
    <w:nsid w:val="0ED956BC"/>
    <w:multiLevelType w:val="hybridMultilevel"/>
    <w:tmpl w:val="7B7000B8"/>
    <w:lvl w:ilvl="0" w:tplc="FB7C665C">
      <w:start w:val="1"/>
      <w:numFmt w:val="decimal"/>
      <w:lvlText w:val="%1."/>
      <w:lvlJc w:val="left"/>
      <w:pPr>
        <w:ind w:left="50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1" w:tplc="6AB892C8">
      <w:start w:val="1"/>
      <w:numFmt w:val="lowerLetter"/>
      <w:lvlText w:val="%2"/>
      <w:lvlJc w:val="left"/>
      <w:pPr>
        <w:ind w:left="178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2" w:tplc="79DE95D0">
      <w:start w:val="1"/>
      <w:numFmt w:val="lowerRoman"/>
      <w:lvlText w:val="%3"/>
      <w:lvlJc w:val="left"/>
      <w:pPr>
        <w:ind w:left="250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3" w:tplc="E748323C">
      <w:start w:val="1"/>
      <w:numFmt w:val="decimal"/>
      <w:lvlText w:val="%4"/>
      <w:lvlJc w:val="left"/>
      <w:pPr>
        <w:ind w:left="322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4" w:tplc="917CD120">
      <w:start w:val="1"/>
      <w:numFmt w:val="lowerLetter"/>
      <w:lvlText w:val="%5"/>
      <w:lvlJc w:val="left"/>
      <w:pPr>
        <w:ind w:left="394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5" w:tplc="57608274">
      <w:start w:val="1"/>
      <w:numFmt w:val="lowerRoman"/>
      <w:lvlText w:val="%6"/>
      <w:lvlJc w:val="left"/>
      <w:pPr>
        <w:ind w:left="466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6" w:tplc="3CE450A8">
      <w:start w:val="1"/>
      <w:numFmt w:val="decimal"/>
      <w:lvlText w:val="%7"/>
      <w:lvlJc w:val="left"/>
      <w:pPr>
        <w:ind w:left="538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7" w:tplc="D2CC674E">
      <w:start w:val="1"/>
      <w:numFmt w:val="lowerLetter"/>
      <w:lvlText w:val="%8"/>
      <w:lvlJc w:val="left"/>
      <w:pPr>
        <w:ind w:left="610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8" w:tplc="82383BF8">
      <w:start w:val="1"/>
      <w:numFmt w:val="lowerRoman"/>
      <w:lvlText w:val="%9"/>
      <w:lvlJc w:val="left"/>
      <w:pPr>
        <w:ind w:left="682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abstractNum>
  <w:abstractNum w15:restartNumberingAfterBreak="0" w:abstractNumId="3">
    <w:nsid w:val="156B4C47"/>
    <w:multiLevelType w:val="hybridMultilevel"/>
    <w:tmpl w:val="1A6294F4"/>
    <w:lvl w:ilvl="0" w:tplc="D7F0ADC6">
      <w:start w:val="1"/>
      <w:numFmt w:val="decimal"/>
      <w:lvlText w:val="%1)"/>
      <w:lvlJc w:val="left"/>
      <w:pPr>
        <w:ind w:left="50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1" w:tplc="393C3CE6">
      <w:start w:val="1"/>
      <w:numFmt w:val="lowerLetter"/>
      <w:lvlText w:val="%2"/>
      <w:lvlJc w:val="left"/>
      <w:pPr>
        <w:ind w:left="178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2" w:tplc="9F9EF1D8">
      <w:start w:val="1"/>
      <w:numFmt w:val="lowerRoman"/>
      <w:lvlText w:val="%3"/>
      <w:lvlJc w:val="left"/>
      <w:pPr>
        <w:ind w:left="250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3" w:tplc="98FC9594">
      <w:start w:val="1"/>
      <w:numFmt w:val="decimal"/>
      <w:lvlText w:val="%4"/>
      <w:lvlJc w:val="left"/>
      <w:pPr>
        <w:ind w:left="322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4" w:tplc="F9FCD03C">
      <w:start w:val="1"/>
      <w:numFmt w:val="lowerLetter"/>
      <w:lvlText w:val="%5"/>
      <w:lvlJc w:val="left"/>
      <w:pPr>
        <w:ind w:left="394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5" w:tplc="1BE0BB08">
      <w:start w:val="1"/>
      <w:numFmt w:val="lowerRoman"/>
      <w:lvlText w:val="%6"/>
      <w:lvlJc w:val="left"/>
      <w:pPr>
        <w:ind w:left="466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6" w:tplc="ACF24DDA">
      <w:start w:val="1"/>
      <w:numFmt w:val="decimal"/>
      <w:lvlText w:val="%7"/>
      <w:lvlJc w:val="left"/>
      <w:pPr>
        <w:ind w:left="538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7" w:tplc="2FE6E2EE">
      <w:start w:val="1"/>
      <w:numFmt w:val="lowerLetter"/>
      <w:lvlText w:val="%8"/>
      <w:lvlJc w:val="left"/>
      <w:pPr>
        <w:ind w:left="610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8" w:tplc="62FAA2C8">
      <w:start w:val="1"/>
      <w:numFmt w:val="lowerRoman"/>
      <w:lvlText w:val="%9"/>
      <w:lvlJc w:val="left"/>
      <w:pPr>
        <w:ind w:left="682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abstractNum>
  <w:abstractNum w15:restartNumberingAfterBreak="0" w:abstractNumId="4">
    <w:nsid w:val="1610225A"/>
    <w:multiLevelType w:val="hybridMultilevel"/>
    <w:tmpl w:val="3782F3B2"/>
    <w:lvl w:ilvl="0" w:tplc="A8A0A4EA">
      <w:start w:val="1"/>
      <w:numFmt w:val="decimal"/>
      <w:lvlText w:val="%1."/>
      <w:lvlJc w:val="left"/>
      <w:pPr>
        <w:ind w:left="50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1" w:tplc="37A4FD04">
      <w:start w:val="1"/>
      <w:numFmt w:val="lowerLetter"/>
      <w:lvlText w:val="%2"/>
      <w:lvlJc w:val="left"/>
      <w:pPr>
        <w:ind w:left="178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2" w:tplc="2E142A08">
      <w:start w:val="1"/>
      <w:numFmt w:val="lowerRoman"/>
      <w:lvlText w:val="%3"/>
      <w:lvlJc w:val="left"/>
      <w:pPr>
        <w:ind w:left="250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3" w:tplc="DF42A1B6">
      <w:start w:val="1"/>
      <w:numFmt w:val="decimal"/>
      <w:lvlText w:val="%4"/>
      <w:lvlJc w:val="left"/>
      <w:pPr>
        <w:ind w:left="322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4" w:tplc="5CC2D35E">
      <w:start w:val="1"/>
      <w:numFmt w:val="lowerLetter"/>
      <w:lvlText w:val="%5"/>
      <w:lvlJc w:val="left"/>
      <w:pPr>
        <w:ind w:left="394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5" w:tplc="7A905982">
      <w:start w:val="1"/>
      <w:numFmt w:val="lowerRoman"/>
      <w:lvlText w:val="%6"/>
      <w:lvlJc w:val="left"/>
      <w:pPr>
        <w:ind w:left="466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6" w:tplc="2CA88C90">
      <w:start w:val="1"/>
      <w:numFmt w:val="decimal"/>
      <w:lvlText w:val="%7"/>
      <w:lvlJc w:val="left"/>
      <w:pPr>
        <w:ind w:left="538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7" w:tplc="FB64F436">
      <w:start w:val="1"/>
      <w:numFmt w:val="lowerLetter"/>
      <w:lvlText w:val="%8"/>
      <w:lvlJc w:val="left"/>
      <w:pPr>
        <w:ind w:left="610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8" w:tplc="710C78DE">
      <w:start w:val="1"/>
      <w:numFmt w:val="lowerRoman"/>
      <w:lvlText w:val="%9"/>
      <w:lvlJc w:val="left"/>
      <w:pPr>
        <w:ind w:left="682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abstractNum>
  <w:abstractNum w15:restartNumberingAfterBreak="0" w:abstractNumId="5">
    <w:nsid w:val="282B450D"/>
    <w:multiLevelType w:val="hybridMultilevel"/>
    <w:tmpl w:val="77380E18"/>
    <w:lvl w:ilvl="0" w:tplc="34B08D26">
      <w:start w:val="1"/>
      <w:numFmt w:val="decimal"/>
      <w:lvlText w:val="%1)"/>
      <w:lvlJc w:val="left"/>
      <w:pPr>
        <w:ind w:left="506"/>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1" w:tplc="73F88D96">
      <w:start w:val="1"/>
      <w:numFmt w:val="lowerLetter"/>
      <w:lvlText w:val="%2"/>
      <w:lvlJc w:val="left"/>
      <w:pPr>
        <w:ind w:left="178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2" w:tplc="38662946">
      <w:start w:val="1"/>
      <w:numFmt w:val="lowerRoman"/>
      <w:lvlText w:val="%3"/>
      <w:lvlJc w:val="left"/>
      <w:pPr>
        <w:ind w:left="250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3" w:tplc="DDA21268">
      <w:start w:val="1"/>
      <w:numFmt w:val="decimal"/>
      <w:lvlText w:val="%4"/>
      <w:lvlJc w:val="left"/>
      <w:pPr>
        <w:ind w:left="322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4" w:tplc="7982E74A">
      <w:start w:val="1"/>
      <w:numFmt w:val="lowerLetter"/>
      <w:lvlText w:val="%5"/>
      <w:lvlJc w:val="left"/>
      <w:pPr>
        <w:ind w:left="394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5" w:tplc="8D5A4546">
      <w:start w:val="1"/>
      <w:numFmt w:val="lowerRoman"/>
      <w:lvlText w:val="%6"/>
      <w:lvlJc w:val="left"/>
      <w:pPr>
        <w:ind w:left="466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6" w:tplc="0988282C">
      <w:start w:val="1"/>
      <w:numFmt w:val="decimal"/>
      <w:lvlText w:val="%7"/>
      <w:lvlJc w:val="left"/>
      <w:pPr>
        <w:ind w:left="538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7" w:tplc="6CB86BAA">
      <w:start w:val="1"/>
      <w:numFmt w:val="lowerLetter"/>
      <w:lvlText w:val="%8"/>
      <w:lvlJc w:val="left"/>
      <w:pPr>
        <w:ind w:left="610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8" w:tplc="EC588B6E">
      <w:start w:val="1"/>
      <w:numFmt w:val="lowerRoman"/>
      <w:lvlText w:val="%9"/>
      <w:lvlJc w:val="left"/>
      <w:pPr>
        <w:ind w:left="682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abstractNum>
  <w:abstractNum w15:restartNumberingAfterBreak="0" w:abstractNumId="6">
    <w:nsid w:val="396E002F"/>
    <w:multiLevelType w:val="hybridMultilevel"/>
    <w:tmpl w:val="6D78F87E"/>
    <w:lvl w:ilvl="0" w:tplc="C1AA3E64">
      <w:start w:val="1"/>
      <w:numFmt w:val="decimal"/>
      <w:lvlText w:val="%1."/>
      <w:lvlJc w:val="left"/>
      <w:pPr>
        <w:ind w:left="50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1" w:tplc="CC6AA7A0">
      <w:start w:val="1"/>
      <w:numFmt w:val="lowerLetter"/>
      <w:lvlText w:val="%2"/>
      <w:lvlJc w:val="left"/>
      <w:pPr>
        <w:ind w:left="178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2" w:tplc="2C1EF91C">
      <w:start w:val="1"/>
      <w:numFmt w:val="lowerRoman"/>
      <w:lvlText w:val="%3"/>
      <w:lvlJc w:val="left"/>
      <w:pPr>
        <w:ind w:left="250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3" w:tplc="6FCED1C8">
      <w:start w:val="1"/>
      <w:numFmt w:val="decimal"/>
      <w:lvlText w:val="%4"/>
      <w:lvlJc w:val="left"/>
      <w:pPr>
        <w:ind w:left="322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4" w:tplc="6F52F54A">
      <w:start w:val="1"/>
      <w:numFmt w:val="lowerLetter"/>
      <w:lvlText w:val="%5"/>
      <w:lvlJc w:val="left"/>
      <w:pPr>
        <w:ind w:left="394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5" w:tplc="D1C8829A">
      <w:start w:val="1"/>
      <w:numFmt w:val="lowerRoman"/>
      <w:lvlText w:val="%6"/>
      <w:lvlJc w:val="left"/>
      <w:pPr>
        <w:ind w:left="466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6" w:tplc="B4A008A8">
      <w:start w:val="1"/>
      <w:numFmt w:val="decimal"/>
      <w:lvlText w:val="%7"/>
      <w:lvlJc w:val="left"/>
      <w:pPr>
        <w:ind w:left="538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7" w:tplc="68448ACE">
      <w:start w:val="1"/>
      <w:numFmt w:val="lowerLetter"/>
      <w:lvlText w:val="%8"/>
      <w:lvlJc w:val="left"/>
      <w:pPr>
        <w:ind w:left="610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8" w:tplc="6B3C421E">
      <w:start w:val="1"/>
      <w:numFmt w:val="lowerRoman"/>
      <w:lvlText w:val="%9"/>
      <w:lvlJc w:val="left"/>
      <w:pPr>
        <w:ind w:left="682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abstractNum>
  <w:abstractNum w15:restartNumberingAfterBreak="0" w:abstractNumId="7">
    <w:nsid w:val="41C561EE"/>
    <w:multiLevelType w:val="hybridMultilevel"/>
    <w:tmpl w:val="712AE108"/>
    <w:lvl w:ilvl="0" w:tplc="6B1EE684">
      <w:start w:val="25"/>
      <w:numFmt w:val="decimal"/>
      <w:lvlText w:val="%1."/>
      <w:lvlJc w:val="left"/>
      <w:pPr>
        <w:ind w:left="50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1" w:tplc="1096B3E8">
      <w:start w:val="1"/>
      <w:numFmt w:val="lowerLetter"/>
      <w:lvlText w:val="%2"/>
      <w:lvlJc w:val="left"/>
      <w:pPr>
        <w:ind w:left="1790"/>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2" w:tplc="65140F40">
      <w:start w:val="1"/>
      <w:numFmt w:val="lowerRoman"/>
      <w:lvlText w:val="%3"/>
      <w:lvlJc w:val="left"/>
      <w:pPr>
        <w:ind w:left="2510"/>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3" w:tplc="5E6A8F64">
      <w:start w:val="1"/>
      <w:numFmt w:val="decimal"/>
      <w:lvlText w:val="%4"/>
      <w:lvlJc w:val="left"/>
      <w:pPr>
        <w:ind w:left="3230"/>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4" w:tplc="7542E9BE">
      <w:start w:val="1"/>
      <w:numFmt w:val="lowerLetter"/>
      <w:lvlText w:val="%5"/>
      <w:lvlJc w:val="left"/>
      <w:pPr>
        <w:ind w:left="3950"/>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5" w:tplc="B3DEDAE8">
      <w:start w:val="1"/>
      <w:numFmt w:val="lowerRoman"/>
      <w:lvlText w:val="%6"/>
      <w:lvlJc w:val="left"/>
      <w:pPr>
        <w:ind w:left="4670"/>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6" w:tplc="722A1088">
      <w:start w:val="1"/>
      <w:numFmt w:val="decimal"/>
      <w:lvlText w:val="%7"/>
      <w:lvlJc w:val="left"/>
      <w:pPr>
        <w:ind w:left="5390"/>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7" w:tplc="7F72AB02">
      <w:start w:val="1"/>
      <w:numFmt w:val="lowerLetter"/>
      <w:lvlText w:val="%8"/>
      <w:lvlJc w:val="left"/>
      <w:pPr>
        <w:ind w:left="6110"/>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8" w:tplc="0F546758">
      <w:start w:val="1"/>
      <w:numFmt w:val="lowerRoman"/>
      <w:lvlText w:val="%9"/>
      <w:lvlJc w:val="left"/>
      <w:pPr>
        <w:ind w:left="6830"/>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abstractNum>
  <w:abstractNum w15:restartNumberingAfterBreak="0" w:abstractNumId="8">
    <w:nsid w:val="427D7954"/>
    <w:multiLevelType w:val="hybridMultilevel"/>
    <w:tmpl w:val="C5DAAE74"/>
    <w:lvl w:ilvl="0" w:tplc="1F2C414A">
      <w:start w:val="1"/>
      <w:numFmt w:val="decimal"/>
      <w:lvlText w:val="%1."/>
      <w:lvlJc w:val="left"/>
      <w:pPr>
        <w:ind w:left="50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1" w:tplc="158E6AC0">
      <w:start w:val="1"/>
      <w:numFmt w:val="lowerLetter"/>
      <w:lvlText w:val="%2"/>
      <w:lvlJc w:val="left"/>
      <w:pPr>
        <w:ind w:left="178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2" w:tplc="E95043F2">
      <w:start w:val="1"/>
      <w:numFmt w:val="lowerRoman"/>
      <w:lvlText w:val="%3"/>
      <w:lvlJc w:val="left"/>
      <w:pPr>
        <w:ind w:left="250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3" w:tplc="30BAC912">
      <w:start w:val="1"/>
      <w:numFmt w:val="decimal"/>
      <w:lvlText w:val="%4"/>
      <w:lvlJc w:val="left"/>
      <w:pPr>
        <w:ind w:left="322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4" w:tplc="6E5E89A0">
      <w:start w:val="1"/>
      <w:numFmt w:val="lowerLetter"/>
      <w:lvlText w:val="%5"/>
      <w:lvlJc w:val="left"/>
      <w:pPr>
        <w:ind w:left="394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5" w:tplc="579A24D8">
      <w:start w:val="1"/>
      <w:numFmt w:val="lowerRoman"/>
      <w:lvlText w:val="%6"/>
      <w:lvlJc w:val="left"/>
      <w:pPr>
        <w:ind w:left="466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6" w:tplc="DDDAB542">
      <w:start w:val="1"/>
      <w:numFmt w:val="decimal"/>
      <w:lvlText w:val="%7"/>
      <w:lvlJc w:val="left"/>
      <w:pPr>
        <w:ind w:left="538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7" w:tplc="370AF514">
      <w:start w:val="1"/>
      <w:numFmt w:val="lowerLetter"/>
      <w:lvlText w:val="%8"/>
      <w:lvlJc w:val="left"/>
      <w:pPr>
        <w:ind w:left="610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8" w:tplc="C6EE4002">
      <w:start w:val="1"/>
      <w:numFmt w:val="lowerRoman"/>
      <w:lvlText w:val="%9"/>
      <w:lvlJc w:val="left"/>
      <w:pPr>
        <w:ind w:left="682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abstractNum>
  <w:abstractNum w15:restartNumberingAfterBreak="0" w:abstractNumId="9">
    <w:nsid w:val="4364033F"/>
    <w:multiLevelType w:val="hybridMultilevel"/>
    <w:tmpl w:val="6D1894F8"/>
    <w:lvl w:ilvl="0" w:tplc="8BD017E4">
      <w:start w:val="1"/>
      <w:numFmt w:val="decimal"/>
      <w:lvlText w:val="(%1."/>
      <w:lvlJc w:val="left"/>
      <w:pPr>
        <w:ind w:left="814"/>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1" w:tplc="C51A0098">
      <w:start w:val="1"/>
      <w:numFmt w:val="lowerLetter"/>
      <w:lvlText w:val="%2"/>
      <w:lvlJc w:val="left"/>
      <w:pPr>
        <w:ind w:left="1080"/>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2" w:tplc="390E2B6C">
      <w:start w:val="1"/>
      <w:numFmt w:val="lowerRoman"/>
      <w:lvlText w:val="%3"/>
      <w:lvlJc w:val="left"/>
      <w:pPr>
        <w:ind w:left="1800"/>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3" w:tplc="4900DBC6">
      <w:start w:val="1"/>
      <w:numFmt w:val="decimal"/>
      <w:lvlText w:val="%4"/>
      <w:lvlJc w:val="left"/>
      <w:pPr>
        <w:ind w:left="2520"/>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4" w:tplc="BC36D7CA">
      <w:start w:val="1"/>
      <w:numFmt w:val="lowerLetter"/>
      <w:lvlText w:val="%5"/>
      <w:lvlJc w:val="left"/>
      <w:pPr>
        <w:ind w:left="3240"/>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5" w:tplc="1066690C">
      <w:start w:val="1"/>
      <w:numFmt w:val="lowerRoman"/>
      <w:lvlText w:val="%6"/>
      <w:lvlJc w:val="left"/>
      <w:pPr>
        <w:ind w:left="3960"/>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6" w:tplc="741A87AE">
      <w:start w:val="1"/>
      <w:numFmt w:val="decimal"/>
      <w:lvlText w:val="%7"/>
      <w:lvlJc w:val="left"/>
      <w:pPr>
        <w:ind w:left="4680"/>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7" w:tplc="826CFC38">
      <w:start w:val="1"/>
      <w:numFmt w:val="lowerLetter"/>
      <w:lvlText w:val="%8"/>
      <w:lvlJc w:val="left"/>
      <w:pPr>
        <w:ind w:left="5400"/>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8" w:tplc="78D624F8">
      <w:start w:val="1"/>
      <w:numFmt w:val="lowerRoman"/>
      <w:lvlText w:val="%9"/>
      <w:lvlJc w:val="left"/>
      <w:pPr>
        <w:ind w:left="6120"/>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abstractNum>
  <w:abstractNum w15:restartNumberingAfterBreak="0" w:abstractNumId="10">
    <w:nsid w:val="469D4754"/>
    <w:multiLevelType w:val="hybridMultilevel"/>
    <w:tmpl w:val="43183CB4"/>
    <w:lvl w:ilvl="0" w:tplc="298E76BC">
      <w:start w:val="1"/>
      <w:numFmt w:val="decimal"/>
      <w:lvlText w:val="%1."/>
      <w:lvlJc w:val="left"/>
      <w:pPr>
        <w:ind w:left="50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1" w:tplc="88C69358">
      <w:start w:val="1"/>
      <w:numFmt w:val="lowerLetter"/>
      <w:lvlText w:val="%2"/>
      <w:lvlJc w:val="left"/>
      <w:pPr>
        <w:ind w:left="178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2" w:tplc="34180D5C">
      <w:start w:val="1"/>
      <w:numFmt w:val="lowerRoman"/>
      <w:lvlText w:val="%3"/>
      <w:lvlJc w:val="left"/>
      <w:pPr>
        <w:ind w:left="250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3" w:tplc="E88846EE">
      <w:start w:val="1"/>
      <w:numFmt w:val="decimal"/>
      <w:lvlText w:val="%4"/>
      <w:lvlJc w:val="left"/>
      <w:pPr>
        <w:ind w:left="322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4" w:tplc="78608332">
      <w:start w:val="1"/>
      <w:numFmt w:val="lowerLetter"/>
      <w:lvlText w:val="%5"/>
      <w:lvlJc w:val="left"/>
      <w:pPr>
        <w:ind w:left="394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5" w:tplc="AA1C623E">
      <w:start w:val="1"/>
      <w:numFmt w:val="lowerRoman"/>
      <w:lvlText w:val="%6"/>
      <w:lvlJc w:val="left"/>
      <w:pPr>
        <w:ind w:left="466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6" w:tplc="429015A6">
      <w:start w:val="1"/>
      <w:numFmt w:val="decimal"/>
      <w:lvlText w:val="%7"/>
      <w:lvlJc w:val="left"/>
      <w:pPr>
        <w:ind w:left="538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7" w:tplc="03ECB3D4">
      <w:start w:val="1"/>
      <w:numFmt w:val="lowerLetter"/>
      <w:lvlText w:val="%8"/>
      <w:lvlJc w:val="left"/>
      <w:pPr>
        <w:ind w:left="610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8" w:tplc="62F6E24C">
      <w:start w:val="1"/>
      <w:numFmt w:val="lowerRoman"/>
      <w:lvlText w:val="%9"/>
      <w:lvlJc w:val="left"/>
      <w:pPr>
        <w:ind w:left="682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abstractNum>
  <w:abstractNum w15:restartNumberingAfterBreak="0" w:abstractNumId="11">
    <w:nsid w:val="54446950"/>
    <w:multiLevelType w:val="hybridMultilevel"/>
    <w:tmpl w:val="03CE6BA8"/>
    <w:lvl w:ilvl="0" w:tplc="6A8E3820">
      <w:start w:val="1"/>
      <w:numFmt w:val="decimal"/>
      <w:lvlText w:val="%1."/>
      <w:lvlJc w:val="left"/>
      <w:pPr>
        <w:ind w:left="86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1" w:tplc="A71425FE">
      <w:start w:val="1"/>
      <w:numFmt w:val="lowerLetter"/>
      <w:lvlText w:val="%2"/>
      <w:lvlJc w:val="left"/>
      <w:pPr>
        <w:ind w:left="1790"/>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2" w:tplc="EE5E432A">
      <w:start w:val="1"/>
      <w:numFmt w:val="lowerRoman"/>
      <w:lvlText w:val="%3"/>
      <w:lvlJc w:val="left"/>
      <w:pPr>
        <w:ind w:left="2510"/>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3" w:tplc="1FD8FC82">
      <w:start w:val="1"/>
      <w:numFmt w:val="decimal"/>
      <w:lvlText w:val="%4"/>
      <w:lvlJc w:val="left"/>
      <w:pPr>
        <w:ind w:left="3230"/>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4" w:tplc="D0FAA920">
      <w:start w:val="1"/>
      <w:numFmt w:val="lowerLetter"/>
      <w:lvlText w:val="%5"/>
      <w:lvlJc w:val="left"/>
      <w:pPr>
        <w:ind w:left="3950"/>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5" w:tplc="CDCA6844">
      <w:start w:val="1"/>
      <w:numFmt w:val="lowerRoman"/>
      <w:lvlText w:val="%6"/>
      <w:lvlJc w:val="left"/>
      <w:pPr>
        <w:ind w:left="4670"/>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6" w:tplc="593CA82C">
      <w:start w:val="1"/>
      <w:numFmt w:val="decimal"/>
      <w:lvlText w:val="%7"/>
      <w:lvlJc w:val="left"/>
      <w:pPr>
        <w:ind w:left="5390"/>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7" w:tplc="54F46590">
      <w:start w:val="1"/>
      <w:numFmt w:val="lowerLetter"/>
      <w:lvlText w:val="%8"/>
      <w:lvlJc w:val="left"/>
      <w:pPr>
        <w:ind w:left="6110"/>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8" w:tplc="C406A78A">
      <w:start w:val="1"/>
      <w:numFmt w:val="lowerRoman"/>
      <w:lvlText w:val="%9"/>
      <w:lvlJc w:val="left"/>
      <w:pPr>
        <w:ind w:left="6830"/>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abstractNum>
  <w:abstractNum w15:restartNumberingAfterBreak="0" w:abstractNumId="12">
    <w:nsid w:val="5A3160C7"/>
    <w:multiLevelType w:val="hybridMultilevel"/>
    <w:tmpl w:val="D54EBE58"/>
    <w:lvl w:ilvl="0" w:tplc="C5D4FAF6">
      <w:start w:val="1"/>
      <w:numFmt w:val="bullet"/>
      <w:lvlText w:val="-"/>
      <w:lvlJc w:val="left"/>
      <w:pPr>
        <w:ind w:left="255"/>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1" w:tplc="47FAD5EA">
      <w:start w:val="1"/>
      <w:numFmt w:val="bullet"/>
      <w:lvlText w:val="o"/>
      <w:lvlJc w:val="left"/>
      <w:pPr>
        <w:ind w:left="178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2" w:tplc="0BB80EB6">
      <w:start w:val="1"/>
      <w:numFmt w:val="bullet"/>
      <w:lvlText w:val="▪"/>
      <w:lvlJc w:val="left"/>
      <w:pPr>
        <w:ind w:left="250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3" w:tplc="A20AC4C4">
      <w:start w:val="1"/>
      <w:numFmt w:val="bullet"/>
      <w:lvlText w:val="•"/>
      <w:lvlJc w:val="left"/>
      <w:pPr>
        <w:ind w:left="322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4" w:tplc="350A1420">
      <w:start w:val="1"/>
      <w:numFmt w:val="bullet"/>
      <w:lvlText w:val="o"/>
      <w:lvlJc w:val="left"/>
      <w:pPr>
        <w:ind w:left="394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5" w:tplc="60AC1AE6">
      <w:start w:val="1"/>
      <w:numFmt w:val="bullet"/>
      <w:lvlText w:val="▪"/>
      <w:lvlJc w:val="left"/>
      <w:pPr>
        <w:ind w:left="466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6" w:tplc="630677AE">
      <w:start w:val="1"/>
      <w:numFmt w:val="bullet"/>
      <w:lvlText w:val="•"/>
      <w:lvlJc w:val="left"/>
      <w:pPr>
        <w:ind w:left="538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7" w:tplc="A87E957C">
      <w:start w:val="1"/>
      <w:numFmt w:val="bullet"/>
      <w:lvlText w:val="o"/>
      <w:lvlJc w:val="left"/>
      <w:pPr>
        <w:ind w:left="610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8" w:tplc="3976E5EC">
      <w:start w:val="1"/>
      <w:numFmt w:val="bullet"/>
      <w:lvlText w:val="▪"/>
      <w:lvlJc w:val="left"/>
      <w:pPr>
        <w:ind w:left="682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abstractNum>
  <w:abstractNum w15:restartNumberingAfterBreak="0" w:abstractNumId="13">
    <w:nsid w:val="72D2379C"/>
    <w:multiLevelType w:val="hybridMultilevel"/>
    <w:tmpl w:val="595465CC"/>
    <w:lvl w:ilvl="0" w:tplc="DDAE1600">
      <w:start w:val="1"/>
      <w:numFmt w:val="decimal"/>
      <w:lvlText w:val="%1."/>
      <w:lvlJc w:val="left"/>
      <w:pPr>
        <w:ind w:left="50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1" w:tplc="622E0738">
      <w:start w:val="1"/>
      <w:numFmt w:val="lowerLetter"/>
      <w:lvlText w:val="%2"/>
      <w:lvlJc w:val="left"/>
      <w:pPr>
        <w:ind w:left="178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2" w:tplc="65C82BDA">
      <w:start w:val="1"/>
      <w:numFmt w:val="lowerRoman"/>
      <w:lvlText w:val="%3"/>
      <w:lvlJc w:val="left"/>
      <w:pPr>
        <w:ind w:left="250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3" w:tplc="D31EA35E">
      <w:start w:val="1"/>
      <w:numFmt w:val="decimal"/>
      <w:lvlText w:val="%4"/>
      <w:lvlJc w:val="left"/>
      <w:pPr>
        <w:ind w:left="322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4" w:tplc="E1AE849C">
      <w:start w:val="1"/>
      <w:numFmt w:val="lowerLetter"/>
      <w:lvlText w:val="%5"/>
      <w:lvlJc w:val="left"/>
      <w:pPr>
        <w:ind w:left="394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5" w:tplc="D110F966">
      <w:start w:val="1"/>
      <w:numFmt w:val="lowerRoman"/>
      <w:lvlText w:val="%6"/>
      <w:lvlJc w:val="left"/>
      <w:pPr>
        <w:ind w:left="466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6" w:tplc="5814827A">
      <w:start w:val="1"/>
      <w:numFmt w:val="decimal"/>
      <w:lvlText w:val="%7"/>
      <w:lvlJc w:val="left"/>
      <w:pPr>
        <w:ind w:left="538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7" w:tplc="02B8922C">
      <w:start w:val="1"/>
      <w:numFmt w:val="lowerLetter"/>
      <w:lvlText w:val="%8"/>
      <w:lvlJc w:val="left"/>
      <w:pPr>
        <w:ind w:left="610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8" w:tplc="1F6AABA6">
      <w:start w:val="1"/>
      <w:numFmt w:val="lowerRoman"/>
      <w:lvlText w:val="%9"/>
      <w:lvlJc w:val="left"/>
      <w:pPr>
        <w:ind w:left="682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abstractNum>
  <w:abstractNum w15:restartNumberingAfterBreak="0" w:abstractNumId="14">
    <w:nsid w:val="745A6EDE"/>
    <w:multiLevelType w:val="hybridMultilevel"/>
    <w:tmpl w:val="FCE8E0D0"/>
    <w:lvl w:ilvl="0" w:tplc="2312C800">
      <w:start w:val="1"/>
      <w:numFmt w:val="bullet"/>
      <w:lvlText w:val="-"/>
      <w:lvlJc w:val="left"/>
      <w:pPr>
        <w:ind w:left="86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1" w:tplc="2A7A05B0">
      <w:start w:val="1"/>
      <w:numFmt w:val="bullet"/>
      <w:lvlText w:val="o"/>
      <w:lvlJc w:val="left"/>
      <w:pPr>
        <w:ind w:left="178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2" w:tplc="A834406A">
      <w:start w:val="1"/>
      <w:numFmt w:val="bullet"/>
      <w:lvlText w:val="▪"/>
      <w:lvlJc w:val="left"/>
      <w:pPr>
        <w:ind w:left="250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3" w:tplc="8F64860E">
      <w:start w:val="1"/>
      <w:numFmt w:val="bullet"/>
      <w:lvlText w:val="•"/>
      <w:lvlJc w:val="left"/>
      <w:pPr>
        <w:ind w:left="322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4" w:tplc="4AAC0F48">
      <w:start w:val="1"/>
      <w:numFmt w:val="bullet"/>
      <w:lvlText w:val="o"/>
      <w:lvlJc w:val="left"/>
      <w:pPr>
        <w:ind w:left="394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5" w:tplc="7A9C312A">
      <w:start w:val="1"/>
      <w:numFmt w:val="bullet"/>
      <w:lvlText w:val="▪"/>
      <w:lvlJc w:val="left"/>
      <w:pPr>
        <w:ind w:left="466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6" w:tplc="7A4C32D0">
      <w:start w:val="1"/>
      <w:numFmt w:val="bullet"/>
      <w:lvlText w:val="•"/>
      <w:lvlJc w:val="left"/>
      <w:pPr>
        <w:ind w:left="538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7" w:tplc="B338197A">
      <w:start w:val="1"/>
      <w:numFmt w:val="bullet"/>
      <w:lvlText w:val="o"/>
      <w:lvlJc w:val="left"/>
      <w:pPr>
        <w:ind w:left="610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8" w:tplc="B5D0976E">
      <w:start w:val="1"/>
      <w:numFmt w:val="bullet"/>
      <w:lvlText w:val="▪"/>
      <w:lvlJc w:val="left"/>
      <w:pPr>
        <w:ind w:left="682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abstractNum>
  <w:abstractNum w15:restartNumberingAfterBreak="0" w:abstractNumId="15">
    <w:nsid w:val="7899588E"/>
    <w:multiLevelType w:val="hybridMultilevel"/>
    <w:tmpl w:val="310E40FC"/>
    <w:lvl w:ilvl="0" w:tplc="68D8BB8E">
      <w:start w:val="1"/>
      <w:numFmt w:val="decimal"/>
      <w:lvlText w:val="%1."/>
      <w:lvlJc w:val="left"/>
      <w:pPr>
        <w:ind w:left="50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1" w:tplc="B882E01A">
      <w:start w:val="1"/>
      <w:numFmt w:val="lowerLetter"/>
      <w:lvlText w:val="%2"/>
      <w:lvlJc w:val="left"/>
      <w:pPr>
        <w:ind w:left="178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2" w:tplc="BEC4EF5C">
      <w:start w:val="1"/>
      <w:numFmt w:val="lowerRoman"/>
      <w:lvlText w:val="%3"/>
      <w:lvlJc w:val="left"/>
      <w:pPr>
        <w:ind w:left="250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3" w:tplc="1FE6FB4A">
      <w:start w:val="1"/>
      <w:numFmt w:val="decimal"/>
      <w:lvlText w:val="%4"/>
      <w:lvlJc w:val="left"/>
      <w:pPr>
        <w:ind w:left="322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4" w:tplc="C80269F6">
      <w:start w:val="1"/>
      <w:numFmt w:val="lowerLetter"/>
      <w:lvlText w:val="%5"/>
      <w:lvlJc w:val="left"/>
      <w:pPr>
        <w:ind w:left="394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5" w:tplc="91481494">
      <w:start w:val="1"/>
      <w:numFmt w:val="lowerRoman"/>
      <w:lvlText w:val="%6"/>
      <w:lvlJc w:val="left"/>
      <w:pPr>
        <w:ind w:left="466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6" w:tplc="BECAD2BA">
      <w:start w:val="1"/>
      <w:numFmt w:val="decimal"/>
      <w:lvlText w:val="%7"/>
      <w:lvlJc w:val="left"/>
      <w:pPr>
        <w:ind w:left="538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7" w:tplc="D9A4FE16">
      <w:start w:val="1"/>
      <w:numFmt w:val="lowerLetter"/>
      <w:lvlText w:val="%8"/>
      <w:lvlJc w:val="left"/>
      <w:pPr>
        <w:ind w:left="610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8" w:tplc="56383D08">
      <w:start w:val="1"/>
      <w:numFmt w:val="lowerRoman"/>
      <w:lvlText w:val="%9"/>
      <w:lvlJc w:val="left"/>
      <w:pPr>
        <w:ind w:left="6828"/>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abstractNum>
  <w:abstractNum w15:restartNumberingAfterBreak="0" w:abstractNumId="16">
    <w:nsid w:val="7C552ADE"/>
    <w:multiLevelType w:val="hybridMultilevel"/>
    <w:tmpl w:val="8F4E1928"/>
    <w:lvl w:ilvl="0" w:tplc="8F5C3B84">
      <w:start w:val="1"/>
      <w:numFmt w:val="decimal"/>
      <w:lvlText w:val="%1."/>
      <w:lvlJc w:val="left"/>
      <w:pPr>
        <w:ind w:left="50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1" w:tplc="A3B86270">
      <w:start w:val="1"/>
      <w:numFmt w:val="lowerLetter"/>
      <w:lvlText w:val="%2"/>
      <w:lvlJc w:val="left"/>
      <w:pPr>
        <w:ind w:left="178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2" w:tplc="C76C2876">
      <w:start w:val="1"/>
      <w:numFmt w:val="lowerRoman"/>
      <w:lvlText w:val="%3"/>
      <w:lvlJc w:val="left"/>
      <w:pPr>
        <w:ind w:left="250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3" w:tplc="7BE44952">
      <w:start w:val="1"/>
      <w:numFmt w:val="decimal"/>
      <w:lvlText w:val="%4"/>
      <w:lvlJc w:val="left"/>
      <w:pPr>
        <w:ind w:left="322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4" w:tplc="5EB48022">
      <w:start w:val="1"/>
      <w:numFmt w:val="lowerLetter"/>
      <w:lvlText w:val="%5"/>
      <w:lvlJc w:val="left"/>
      <w:pPr>
        <w:ind w:left="394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5" w:tplc="108ADC06">
      <w:start w:val="1"/>
      <w:numFmt w:val="lowerRoman"/>
      <w:lvlText w:val="%6"/>
      <w:lvlJc w:val="left"/>
      <w:pPr>
        <w:ind w:left="466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6" w:tplc="7D2459B4">
      <w:start w:val="1"/>
      <w:numFmt w:val="decimal"/>
      <w:lvlText w:val="%7"/>
      <w:lvlJc w:val="left"/>
      <w:pPr>
        <w:ind w:left="538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7" w:tplc="D14C0664">
      <w:start w:val="1"/>
      <w:numFmt w:val="lowerLetter"/>
      <w:lvlText w:val="%8"/>
      <w:lvlJc w:val="left"/>
      <w:pPr>
        <w:ind w:left="610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8" w:tplc="7BB67C5A">
      <w:start w:val="1"/>
      <w:numFmt w:val="lowerRoman"/>
      <w:lvlText w:val="%9"/>
      <w:lvlJc w:val="left"/>
      <w:pPr>
        <w:ind w:left="682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abstractNum>
  <w:abstractNum w15:restartNumberingAfterBreak="0" w:abstractNumId="17">
    <w:nsid w:val="7D643977"/>
    <w:multiLevelType w:val="hybridMultilevel"/>
    <w:tmpl w:val="9D72B87A"/>
    <w:lvl w:ilvl="0" w:tplc="A56CAAC4">
      <w:start w:val="33"/>
      <w:numFmt w:val="decimal"/>
      <w:lvlText w:val="%1."/>
      <w:lvlJc w:val="left"/>
      <w:pPr>
        <w:ind w:left="50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1" w:tplc="A018502C">
      <w:start w:val="1"/>
      <w:numFmt w:val="lowerLetter"/>
      <w:lvlText w:val="%2"/>
      <w:lvlJc w:val="left"/>
      <w:pPr>
        <w:ind w:left="178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2" w:tplc="0A281948">
      <w:start w:val="1"/>
      <w:numFmt w:val="lowerRoman"/>
      <w:lvlText w:val="%3"/>
      <w:lvlJc w:val="left"/>
      <w:pPr>
        <w:ind w:left="250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3" w:tplc="50A2AE68">
      <w:start w:val="1"/>
      <w:numFmt w:val="decimal"/>
      <w:lvlText w:val="%4"/>
      <w:lvlJc w:val="left"/>
      <w:pPr>
        <w:ind w:left="322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4" w:tplc="521EA320">
      <w:start w:val="1"/>
      <w:numFmt w:val="lowerLetter"/>
      <w:lvlText w:val="%5"/>
      <w:lvlJc w:val="left"/>
      <w:pPr>
        <w:ind w:left="394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5" w:tplc="9E9EB83A">
      <w:start w:val="1"/>
      <w:numFmt w:val="lowerRoman"/>
      <w:lvlText w:val="%6"/>
      <w:lvlJc w:val="left"/>
      <w:pPr>
        <w:ind w:left="466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6" w:tplc="075EF0BA">
      <w:start w:val="1"/>
      <w:numFmt w:val="decimal"/>
      <w:lvlText w:val="%7"/>
      <w:lvlJc w:val="left"/>
      <w:pPr>
        <w:ind w:left="538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7" w:tplc="9B5C8EEC">
      <w:start w:val="1"/>
      <w:numFmt w:val="lowerLetter"/>
      <w:lvlText w:val="%8"/>
      <w:lvlJc w:val="left"/>
      <w:pPr>
        <w:ind w:left="610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lvl w:ilvl="8" w:tplc="85B8869C">
      <w:start w:val="1"/>
      <w:numFmt w:val="lowerRoman"/>
      <w:lvlText w:val="%9"/>
      <w:lvlJc w:val="left"/>
      <w:pPr>
        <w:ind w:left="6829"/>
      </w:pPr>
      <w:rPr>
        <w:rFonts w:ascii="Times New Roman" w:cs="Times New Roman" w:eastAsia="Times New Roman" w:hAnsi="Times New Roman"/>
        <w:b w:val="0"/>
        <w:i w:val="0"/>
        <w:strike w:val="0"/>
        <w:dstrike w:val="0"/>
        <w:color w:val="000000"/>
        <w:sz w:val="28"/>
        <w:szCs w:val="28"/>
        <w:u w:color="000000" w:val="none"/>
        <w:bdr w:color="auto" w:space="0" w:sz="0" w:val="none"/>
        <w:shd w:color="auto" w:fill="auto" w:val="clear"/>
        <w:vertAlign w:val="baseli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abstractNumId w:val="5"/>
  </w:num>
  <w:num w:numId="2">
    <w:abstractNumId w:val="6"/>
  </w:num>
  <w:num w:numId="3">
    <w:abstractNumId w:val="15"/>
  </w:num>
  <w:num w:numId="4">
    <w:abstractNumId w:val="11"/>
  </w:num>
  <w:num w:numId="5">
    <w:abstractNumId w:val="16"/>
  </w:num>
  <w:num w:numId="6">
    <w:abstractNumId w:val="2"/>
  </w:num>
  <w:num w:numId="7">
    <w:abstractNumId w:val="0"/>
  </w:num>
  <w:num w:numId="8">
    <w:abstractNumId w:val="9"/>
  </w:num>
  <w:num w:numId="9">
    <w:abstractNumId w:val="12"/>
  </w:num>
  <w:num w:numId="10">
    <w:abstractNumId w:val="3"/>
  </w:num>
  <w:num w:numId="11">
    <w:abstractNumId w:val="8"/>
  </w:num>
  <w:num w:numId="12">
    <w:abstractNumId w:val="14"/>
  </w:num>
  <w:num w:numId="13">
    <w:abstractNumId w:val="13"/>
  </w:num>
  <w:num w:numId="14">
    <w:abstractNumId w:val="10"/>
  </w:num>
  <w:num w:numId="15">
    <w:abstractNumId w:val="1"/>
  </w:num>
  <w:num w:numId="16">
    <w:abstractNumId w:val="4"/>
  </w:num>
  <w:num w:numId="17">
    <w:abstractNumId w:val="7"/>
  </w:num>
  <w:num w:numId="18">
    <w:abstractNumId w:val="17"/>
  </w: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08"/>
  <w:evenAndOddHeaders/>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224"/>
    <w:rsid w:val="002427F9"/>
    <w:rsid w:val="00A464AC"/>
    <w:rsid w:val="00D5171F"/>
    <w:rsid w:val="00E12224"/>
    <w:rsid w:val="00EC2B04"/>
  </w:rsids>
  <w:themeFontLang w:val="ru-RU"/>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EastAsia" w:hAnsiTheme="minorHAnsi"/>
        <w:sz w:val="22"/>
        <w:szCs w:val="22"/>
        <w:lang w:bidi="ar-SA" w:eastAsia="ru-RU" w:val="ru-RU"/>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spacing w:after="5"/>
      <w:ind w:hanging="10" w:left="303"/>
      <w:jc w:val="both"/>
    </w:pPr>
    <w:rPr>
      <w:rFonts w:ascii="Times New Roman" w:cs="Times New Roman" w:eastAsia="Times New Roman" w:hAnsi="Times New Roman"/>
      <w:color w:val="000000"/>
      <w:sz w:val="28"/>
    </w:rPr>
  </w:style>
  <w:style w:styleId="1" w:type="paragraph">
    <w:name w:val="heading 1"/>
    <w:next w:val="a"/>
    <w:link w:val="10"/>
    <w:uiPriority w:val="9"/>
    <w:qFormat/>
    <w:pPr>
      <w:keepNext/>
      <w:keepLines/>
      <w:spacing w:after="132"/>
      <w:ind w:hanging="10" w:left="152"/>
      <w:outlineLvl w:val="0"/>
    </w:pPr>
    <w:rPr>
      <w:rFonts w:ascii="Times New Roman" w:cs="Times New Roman" w:eastAsia="Times New Roman" w:hAnsi="Times New Roman"/>
      <w:b/>
      <w:color w:val="000000"/>
      <w:sz w:val="28"/>
    </w:rPr>
  </w:style>
  <w:style w:styleId="2" w:type="paragraph">
    <w:name w:val="heading 2"/>
    <w:next w:val="a"/>
    <w:link w:val="20"/>
    <w:uiPriority w:val="9"/>
    <w:unhideWhenUsed/>
    <w:qFormat/>
    <w:pPr>
      <w:keepNext/>
      <w:keepLines/>
      <w:spacing w:after="5"/>
      <w:ind w:hanging="10" w:left="303"/>
      <w:jc w:val="both"/>
      <w:outlineLvl w:val="1"/>
    </w:pPr>
    <w:rPr>
      <w:rFonts w:ascii="Times New Roman" w:cs="Times New Roman" w:eastAsia="Times New Roman" w:hAnsi="Times New Roman"/>
      <w:color w:val="000000"/>
      <w:sz w:val="28"/>
    </w:rPr>
  </w:style>
  <w:style w:styleId="3" w:type="paragraph">
    <w:name w:val="heading 3"/>
    <w:next w:val="a"/>
    <w:link w:val="30"/>
    <w:uiPriority w:val="9"/>
    <w:unhideWhenUsed/>
    <w:qFormat/>
    <w:pPr>
      <w:keepNext/>
      <w:keepLines/>
      <w:spacing w:after="132"/>
      <w:ind w:hanging="10" w:left="152"/>
      <w:outlineLvl w:val="2"/>
    </w:pPr>
    <w:rPr>
      <w:rFonts w:ascii="Times New Roman" w:cs="Times New Roman" w:eastAsia="Times New Roman" w:hAnsi="Times New Roman"/>
      <w:b/>
      <w:color w:val="000000"/>
      <w:sz w:val="28"/>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30" w:type="character">
    <w:name w:val="Заголовок 3 Знак"/>
    <w:link w:val="3"/>
    <w:rPr>
      <w:rFonts w:ascii="Times New Roman" w:cs="Times New Roman" w:eastAsia="Times New Roman" w:hAnsi="Times New Roman"/>
      <w:b/>
      <w:color w:val="000000"/>
      <w:sz w:val="28"/>
    </w:rPr>
  </w:style>
  <w:style w:customStyle="1" w:styleId="10" w:type="character">
    <w:name w:val="Заголовок 1 Знак"/>
    <w:link w:val="1"/>
    <w:rPr>
      <w:rFonts w:ascii="Times New Roman" w:cs="Times New Roman" w:eastAsia="Times New Roman" w:hAnsi="Times New Roman"/>
      <w:b/>
      <w:color w:val="000000"/>
      <w:sz w:val="28"/>
    </w:rPr>
  </w:style>
  <w:style w:customStyle="1" w:styleId="20" w:type="character">
    <w:name w:val="Заголовок 2 Знак"/>
    <w:link w:val="2"/>
    <w:rPr>
      <w:rFonts w:ascii="Times New Roman" w:cs="Times New Roman" w:eastAsia="Times New Roman" w:hAnsi="Times New Roman"/>
      <w:color w:val="000000"/>
      <w:sz w:val="28"/>
    </w:rPr>
  </w:style>
  <w:style w:styleId="11" w:type="paragraph">
    <w:name w:val="toc 1"/>
    <w:hidden/>
    <w:pPr>
      <w:spacing w:after="220" w:line="265" w:lineRule="auto"/>
      <w:ind w:hanging="10" w:left="42" w:right="22"/>
    </w:pPr>
    <w:rPr>
      <w:rFonts w:ascii="Times New Roman" w:cs="Times New Roman" w:eastAsia="Times New Roman" w:hAnsi="Times New Roman"/>
      <w:color w:val="000000"/>
      <w:sz w:val="28"/>
    </w:rPr>
  </w:style>
  <w:style w:styleId="21" w:type="paragraph">
    <w:name w:val="toc 2"/>
    <w:hidden/>
    <w:pPr>
      <w:spacing w:after="14" w:line="265" w:lineRule="auto"/>
      <w:ind w:hanging="10" w:left="318" w:right="21"/>
    </w:pPr>
    <w:rPr>
      <w:rFonts w:ascii="Times New Roman" w:cs="Times New Roman" w:eastAsia="Times New Roman" w:hAnsi="Times New Roman"/>
      <w:color w:val="000000"/>
      <w:sz w:val="28"/>
    </w:rPr>
  </w:style>
  <w:style w:customStyle="1" w:styleId="TableGrid" w:type="table">
    <w:name w:val="TableGrid"/>
    <w:pPr>
      <w:spacing w:after="0" w:line="240" w:lineRule="auto"/>
    </w:pPr>
    <w:tblPr>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Relationships xmlns="http://schemas.openxmlformats.org/package/2006/relationships"><Relationship Type="http://schemas.openxmlformats.org/officeDocument/2006/relationships/numbering" Id="rId177" Target="numbering.xml" /><Relationship Type="http://schemas.openxmlformats.org/officeDocument/2006/relationships/styles" Id="rId176" Target="styles.xml" /><Relationship Type="http://schemas.openxmlformats.org/officeDocument/2006/relationships/settings" Id="rId175" Target="settings.xml" /><Relationship Type="http://schemas.openxmlformats.org/officeDocument/2006/relationships/webSettings" Id="rId174" Target="webSettings.xml" /><Relationship Type="http://schemas.openxmlformats.org/officeDocument/2006/relationships/fontTable" Id="rId173" Target="fontTable.xml" /><Relationship Type="http://schemas.openxmlformats.org/officeDocument/2006/relationships/theme" Id="rId172" Target="theme/theme1.xml" /><Relationship Type="http://schemas.openxmlformats.org/officeDocument/2006/relationships/footnotes" Id="rId171" Target="footnotes.xml" /><Relationship Type="http://schemas.openxmlformats.org/officeDocument/2006/relationships/comments" Id="rId170" Target="comments.xml" /><Relationship Id="rId117" Target="media/image90.jpg" Type="http://schemas.openxmlformats.org/officeDocument/2006/relationships/image" /><Relationship Id="rId21" Target="media/image10.jpg" Type="http://schemas.openxmlformats.org/officeDocument/2006/relationships/image" /><Relationship Id="rId42" Target="media/image31.jpg" Type="http://schemas.openxmlformats.org/officeDocument/2006/relationships/image" /><Relationship Id="rId63" Target="media/image47.png" Type="http://schemas.openxmlformats.org/officeDocument/2006/relationships/image" /><Relationship Id="rId84" Target="media/image66.jpg" Type="http://schemas.openxmlformats.org/officeDocument/2006/relationships/image" /><Relationship Id="rId138" Target="media/image960.jpg" Type="http://schemas.openxmlformats.org/officeDocument/2006/relationships/image" /><Relationship Id="rId159" Target="media/image136.png" Type="http://schemas.openxmlformats.org/officeDocument/2006/relationships/image" /><Relationship Id="rId107" Target="media/image80.png" Type="http://schemas.openxmlformats.org/officeDocument/2006/relationships/image" /><Relationship Id="rId11" Target="media/image2.jpg" Type="http://schemas.openxmlformats.org/officeDocument/2006/relationships/image" /><Relationship Id="rId32" Target="media/image21.jpg" Type="http://schemas.openxmlformats.org/officeDocument/2006/relationships/image" /><Relationship Id="rId53" Target="media/image39.png" Type="http://schemas.openxmlformats.org/officeDocument/2006/relationships/image" /><Relationship Id="rId74" Target="media/image56.jpg" Type="http://schemas.openxmlformats.org/officeDocument/2006/relationships/image" /><Relationship Id="rId128" Target="media/image101.jpg" Type="http://schemas.openxmlformats.org/officeDocument/2006/relationships/image" /><Relationship Id="rId149" Target="media/image116.png" Type="http://schemas.openxmlformats.org/officeDocument/2006/relationships/image" /><Relationship Id="rId95" Target="media/image640.jpg" Type="http://schemas.openxmlformats.org/officeDocument/2006/relationships/image" /><Relationship Id="rId160" Target="media/image137.png" Type="http://schemas.openxmlformats.org/officeDocument/2006/relationships/image" /><Relationship Id="rId22" Target="media/image11.jpg" Type="http://schemas.openxmlformats.org/officeDocument/2006/relationships/image" /><Relationship Id="rId43" Target="media/image32.jpg" Type="http://schemas.openxmlformats.org/officeDocument/2006/relationships/image" /><Relationship Id="rId64" Target="media/image48.png" Type="http://schemas.openxmlformats.org/officeDocument/2006/relationships/image" /><Relationship Id="rId118" Target="media/image91.jpg" Type="http://schemas.openxmlformats.org/officeDocument/2006/relationships/image" /><Relationship Id="rId139" Target="media/image970.jpg" Type="http://schemas.openxmlformats.org/officeDocument/2006/relationships/image" /><Relationship Id="rId85" Target="media/image67.jpg" Type="http://schemas.openxmlformats.org/officeDocument/2006/relationships/image" /><Relationship Id="rId150" Target="media/image117.png" Type="http://schemas.openxmlformats.org/officeDocument/2006/relationships/image" /><Relationship Id="rId12" Target="media/image3.jpg" Type="http://schemas.openxmlformats.org/officeDocument/2006/relationships/image" /><Relationship Id="rId33" Target="media/image22.jpg" Type="http://schemas.openxmlformats.org/officeDocument/2006/relationships/image" /><Relationship Id="rId108" Target="media/image81.jpg" Type="http://schemas.openxmlformats.org/officeDocument/2006/relationships/image" /><Relationship Id="rId129" Target="media/image920.jpg" Type="http://schemas.openxmlformats.org/officeDocument/2006/relationships/image" /><Relationship Id="rId54" Target="media/image40.jpg" Type="http://schemas.openxmlformats.org/officeDocument/2006/relationships/image" /><Relationship Id="rId70" Target="media/image59.jpeg" Type="http://schemas.openxmlformats.org/officeDocument/2006/relationships/image" /><Relationship Id="rId75" Target="media/image57.jpg" Type="http://schemas.openxmlformats.org/officeDocument/2006/relationships/image" /><Relationship Id="rId91" Target="media/image620.jpg" Type="http://schemas.openxmlformats.org/officeDocument/2006/relationships/image" /><Relationship Id="rId96" Target="media/image74.jpg" Type="http://schemas.openxmlformats.org/officeDocument/2006/relationships/image" /><Relationship Id="rId140" Target="media/image107.jpg" Type="http://schemas.openxmlformats.org/officeDocument/2006/relationships/image" /><Relationship Id="rId145" Target="media/image112.png" Type="http://schemas.openxmlformats.org/officeDocument/2006/relationships/image" /><Relationship Id="rId161" Target="media/image138.png" Type="http://schemas.openxmlformats.org/officeDocument/2006/relationships/image" /><Relationship Id="rId166" Target="media/image1130.jpg" Type="http://schemas.openxmlformats.org/officeDocument/2006/relationships/image" /><Relationship Id="rId23" Target="media/image12.jpg" Type="http://schemas.openxmlformats.org/officeDocument/2006/relationships/image" /><Relationship Id="rId28" Target="media/image17.jpg" Type="http://schemas.openxmlformats.org/officeDocument/2006/relationships/image" /><Relationship Id="rId49" Target="media/image35.jpg" Type="http://schemas.openxmlformats.org/officeDocument/2006/relationships/image" /><Relationship Id="rId114" Target="media/image87.jpg" Type="http://schemas.openxmlformats.org/officeDocument/2006/relationships/image" /><Relationship Id="rId119" Target="media/image92.jpg" Type="http://schemas.openxmlformats.org/officeDocument/2006/relationships/image" /><Relationship Id="rId44" Target="media/image33.png" Type="http://schemas.openxmlformats.org/officeDocument/2006/relationships/image" /><Relationship Id="rId60" Target="media/image49.jpeg" Type="http://schemas.openxmlformats.org/officeDocument/2006/relationships/image" /><Relationship Id="rId65" Target="media/image49.png" Type="http://schemas.openxmlformats.org/officeDocument/2006/relationships/image" /><Relationship Id="rId81" Target="media/image63.jpg" Type="http://schemas.openxmlformats.org/officeDocument/2006/relationships/image" /><Relationship Id="rId86" Target="media/image68.jpg" Type="http://schemas.openxmlformats.org/officeDocument/2006/relationships/image" /><Relationship Id="rId130" Target="media/image840.jpg" Type="http://schemas.openxmlformats.org/officeDocument/2006/relationships/image" /><Relationship Id="rId135" Target="media/image104.jpg" Type="http://schemas.openxmlformats.org/officeDocument/2006/relationships/image" /><Relationship Id="rId151" Target="media/image118.png" Type="http://schemas.openxmlformats.org/officeDocument/2006/relationships/image" /><Relationship Id="rId156" Target="media/image133.png" Type="http://schemas.openxmlformats.org/officeDocument/2006/relationships/image" /><Relationship Id="rId13" Target="media/image4.jpg" Type="http://schemas.openxmlformats.org/officeDocument/2006/relationships/image" /><Relationship Id="rId18" Target="media/image7.jpg" Type="http://schemas.openxmlformats.org/officeDocument/2006/relationships/image" /><Relationship Id="rId39" Target="media/image28.jpg" Type="http://schemas.openxmlformats.org/officeDocument/2006/relationships/image" /><Relationship Id="rId109" Target="media/image82.jpg" Type="http://schemas.openxmlformats.org/officeDocument/2006/relationships/image" /><Relationship Id="rId34" Target="media/image23.jpg" Type="http://schemas.openxmlformats.org/officeDocument/2006/relationships/image" /><Relationship Id="rId50" Target="media/image36.jpg" Type="http://schemas.openxmlformats.org/officeDocument/2006/relationships/image" /><Relationship Id="rId55" Target="media/image41.jpg" Type="http://schemas.openxmlformats.org/officeDocument/2006/relationships/image" /><Relationship Id="rId76" Target="media/image58.jpg" Type="http://schemas.openxmlformats.org/officeDocument/2006/relationships/image" /><Relationship Id="rId97" Target="media/image75.jpg" Type="http://schemas.openxmlformats.org/officeDocument/2006/relationships/image" /><Relationship Id="rId104" Target="media/image87.jpeg" Type="http://schemas.openxmlformats.org/officeDocument/2006/relationships/image" /><Relationship Id="rId120" Target="media/image93.jpg" Type="http://schemas.openxmlformats.org/officeDocument/2006/relationships/image" /><Relationship Id="rId125" Target="media/image98.jpg" Type="http://schemas.openxmlformats.org/officeDocument/2006/relationships/image" /><Relationship Id="rId141" Target="media/image108.jpg" Type="http://schemas.openxmlformats.org/officeDocument/2006/relationships/image" /><Relationship Id="rId146" Target="media/image113.png" Type="http://schemas.openxmlformats.org/officeDocument/2006/relationships/image" /><Relationship Id="rId167" Target="header4.xml" Type="http://schemas.openxmlformats.org/officeDocument/2006/relationships/header" /><Relationship Id="rId7" Target="header1.xml" Type="http://schemas.openxmlformats.org/officeDocument/2006/relationships/header" /><Relationship Id="rId71" Target="media/image60.png" Type="http://schemas.openxmlformats.org/officeDocument/2006/relationships/image" /><Relationship Id="rId92" Target="media/image72.jpg" Type="http://schemas.openxmlformats.org/officeDocument/2006/relationships/image" /><Relationship Id="rId162" Target="media/image139.png" Type="http://schemas.openxmlformats.org/officeDocument/2006/relationships/image" /><Relationship Id="rId29" Target="media/image18.jpg" Type="http://schemas.openxmlformats.org/officeDocument/2006/relationships/image" /><Relationship Id="rId24" Target="media/image13.jpg" Type="http://schemas.openxmlformats.org/officeDocument/2006/relationships/image" /><Relationship Id="rId40" Target="media/image29.png" Type="http://schemas.openxmlformats.org/officeDocument/2006/relationships/image" /><Relationship Id="rId45" Target="media/image34.jpeg" Type="http://schemas.openxmlformats.org/officeDocument/2006/relationships/image" /><Relationship Id="rId66" Target="media/image50.png" Type="http://schemas.openxmlformats.org/officeDocument/2006/relationships/image" /><Relationship Id="rId87" Target="media/image69.jpg" Type="http://schemas.openxmlformats.org/officeDocument/2006/relationships/image" /><Relationship Id="rId110" Target="media/image83.jpg" Type="http://schemas.openxmlformats.org/officeDocument/2006/relationships/image" /><Relationship Id="rId115" Target="media/image88.jpg" Type="http://schemas.openxmlformats.org/officeDocument/2006/relationships/image" /><Relationship Id="rId131" Target="media/image102.jpg" Type="http://schemas.openxmlformats.org/officeDocument/2006/relationships/image" /><Relationship Id="rId136" Target="media/image105.jpg" Type="http://schemas.openxmlformats.org/officeDocument/2006/relationships/image" /><Relationship Id="rId157" Target="media/image134.png" Type="http://schemas.openxmlformats.org/officeDocument/2006/relationships/image" /><Relationship Id="rId61" Target="media/image44.jpg" Type="http://schemas.openxmlformats.org/officeDocument/2006/relationships/image" /><Relationship Id="rId82" Target="media/image64.jpg" Type="http://schemas.openxmlformats.org/officeDocument/2006/relationships/image" /><Relationship Id="rId152" Target="media/image119.png" Type="http://schemas.openxmlformats.org/officeDocument/2006/relationships/image" /><Relationship Id="rId19" Target="media/image8.jpg" Type="http://schemas.openxmlformats.org/officeDocument/2006/relationships/image" /><Relationship Id="rId14" Target="media/image5.jpg" Type="http://schemas.openxmlformats.org/officeDocument/2006/relationships/image" /><Relationship Id="rId30" Target="media/image19.jpg" Type="http://schemas.openxmlformats.org/officeDocument/2006/relationships/image" /><Relationship Id="rId35" Target="media/image24.jpg" Type="http://schemas.openxmlformats.org/officeDocument/2006/relationships/image" /><Relationship Id="rId56" Target="media/image43.jpg" Type="http://schemas.openxmlformats.org/officeDocument/2006/relationships/image" /><Relationship Id="rId77" Target="media/image59.jpg" Type="http://schemas.openxmlformats.org/officeDocument/2006/relationships/image" /><Relationship Id="rId100" Target="media/image76.png" Type="http://schemas.openxmlformats.org/officeDocument/2006/relationships/image" /><Relationship Id="rId105" Target="media/image88.jpeg" Type="http://schemas.openxmlformats.org/officeDocument/2006/relationships/image" /><Relationship Id="rId126" Target="media/image99.jpg" Type="http://schemas.openxmlformats.org/officeDocument/2006/relationships/image" /><Relationship Id="rId147" Target="media/image114.png" Type="http://schemas.openxmlformats.org/officeDocument/2006/relationships/image" /><Relationship Id="rId168" Target="header5.xml" Type="http://schemas.openxmlformats.org/officeDocument/2006/relationships/header" /><Relationship Id="rId8" Target="header2.xml" Type="http://schemas.openxmlformats.org/officeDocument/2006/relationships/header" /><Relationship Id="rId51" Target="media/image37.jpg" Type="http://schemas.openxmlformats.org/officeDocument/2006/relationships/image" /><Relationship Id="rId72" Target="media/image54.png" Type="http://schemas.openxmlformats.org/officeDocument/2006/relationships/image" /><Relationship Id="rId93" Target="media/image73.jpg" Type="http://schemas.openxmlformats.org/officeDocument/2006/relationships/image" /><Relationship Id="rId98" Target="media/image650.jpg" Type="http://schemas.openxmlformats.org/officeDocument/2006/relationships/image" /><Relationship Id="rId121" Target="media/image94.jpg" Type="http://schemas.openxmlformats.org/officeDocument/2006/relationships/image" /><Relationship Id="rId142" Target="media/image109.jpg" Type="http://schemas.openxmlformats.org/officeDocument/2006/relationships/image" /><Relationship Id="rId163" Target="media/image121.jpg" Type="http://schemas.openxmlformats.org/officeDocument/2006/relationships/image" /><Relationship Id="rId25" Target="media/image14.jpg" Type="http://schemas.openxmlformats.org/officeDocument/2006/relationships/image" /><Relationship Id="rId46" Target="media/image35.jpeg" Type="http://schemas.openxmlformats.org/officeDocument/2006/relationships/image" /><Relationship Id="rId67" Target="media/image51.png" Type="http://schemas.openxmlformats.org/officeDocument/2006/relationships/image" /><Relationship Id="rId116" Target="media/image89.jpg" Type="http://schemas.openxmlformats.org/officeDocument/2006/relationships/image" /><Relationship Id="rId137" Target="media/image106.jpg" Type="http://schemas.openxmlformats.org/officeDocument/2006/relationships/image" /><Relationship Id="rId158" Target="media/image135.png" Type="http://schemas.openxmlformats.org/officeDocument/2006/relationships/image" /><Relationship Id="rId20" Target="media/image9.jpg" Type="http://schemas.openxmlformats.org/officeDocument/2006/relationships/image" /><Relationship Id="rId41" Target="media/image30.png" Type="http://schemas.openxmlformats.org/officeDocument/2006/relationships/image" /><Relationship Id="rId62" Target="media/image45.png" Type="http://schemas.openxmlformats.org/officeDocument/2006/relationships/image" /><Relationship Id="rId83" Target="media/image65.jpg" Type="http://schemas.openxmlformats.org/officeDocument/2006/relationships/image" /><Relationship Id="rId88" Target="media/image70.jpg" Type="http://schemas.openxmlformats.org/officeDocument/2006/relationships/image" /><Relationship Id="rId111" Target="media/image84.jpg" Type="http://schemas.openxmlformats.org/officeDocument/2006/relationships/image" /><Relationship Id="rId132" Target="media/image103.jpg" Type="http://schemas.openxmlformats.org/officeDocument/2006/relationships/image" /><Relationship Id="rId153" Target="media/image120.png" Type="http://schemas.openxmlformats.org/officeDocument/2006/relationships/image" /><Relationship Id="rId15" Target="media/image42.jpg" Type="http://schemas.openxmlformats.org/officeDocument/2006/relationships/image" /><Relationship Id="rId36" Target="media/image25.jpg" Type="http://schemas.openxmlformats.org/officeDocument/2006/relationships/image" /><Relationship Id="rId57" Target="media/image46.png" Type="http://schemas.openxmlformats.org/officeDocument/2006/relationships/image" /><Relationship Id="rId106" Target="media/image79.png" Type="http://schemas.openxmlformats.org/officeDocument/2006/relationships/image" /><Relationship Id="rId127" Target="media/image100.jpg" Type="http://schemas.openxmlformats.org/officeDocument/2006/relationships/image" /><Relationship Id="rId10" Target="media/image1.jpg" Type="http://schemas.openxmlformats.org/officeDocument/2006/relationships/image" /><Relationship Id="rId31" Target="media/image20.jpg" Type="http://schemas.openxmlformats.org/officeDocument/2006/relationships/image" /><Relationship Id="rId52" Target="media/image38.jpg" Type="http://schemas.openxmlformats.org/officeDocument/2006/relationships/image" /><Relationship Id="rId73" Target="media/image55.jpg" Type="http://schemas.openxmlformats.org/officeDocument/2006/relationships/image" /><Relationship Id="rId78" Target="media/image60.jpg" Type="http://schemas.openxmlformats.org/officeDocument/2006/relationships/image" /><Relationship Id="rId94" Target="media/image630.jpg" Type="http://schemas.openxmlformats.org/officeDocument/2006/relationships/image" /><Relationship Id="rId99" Target="media/image660.jpg" Type="http://schemas.openxmlformats.org/officeDocument/2006/relationships/image" /><Relationship Id="rId101" Target="media/image77.jpg" Type="http://schemas.openxmlformats.org/officeDocument/2006/relationships/image" /><Relationship Id="rId122" Target="media/image95.jpg" Type="http://schemas.openxmlformats.org/officeDocument/2006/relationships/image" /><Relationship Id="rId143" Target="media/image110.jpg" Type="http://schemas.openxmlformats.org/officeDocument/2006/relationships/image" /><Relationship Id="rId148" Target="media/image115.png" Type="http://schemas.openxmlformats.org/officeDocument/2006/relationships/image" /><Relationship Id="rId164" Target="media/image122.jpg" Type="http://schemas.openxmlformats.org/officeDocument/2006/relationships/image" /><Relationship Id="rId169" Target="header6.xml" Type="http://schemas.openxmlformats.org/officeDocument/2006/relationships/header" /><Relationship Id="rId9" Target="header3.xml" Type="http://schemas.openxmlformats.org/officeDocument/2006/relationships/header" /><Relationship Id="rId26" Target="media/image15.jpg" Type="http://schemas.openxmlformats.org/officeDocument/2006/relationships/image" /><Relationship Id="rId47" Target="media/image33.jpg" Type="http://schemas.openxmlformats.org/officeDocument/2006/relationships/image" /><Relationship Id="rId68" Target="media/image52.jpg" Type="http://schemas.openxmlformats.org/officeDocument/2006/relationships/image" /><Relationship Id="rId89" Target="media/image71.jpg" Type="http://schemas.openxmlformats.org/officeDocument/2006/relationships/image" /><Relationship Id="rId112" Target="media/image85.jpg" Type="http://schemas.openxmlformats.org/officeDocument/2006/relationships/image" /><Relationship Id="rId133" Target="media/image930.jpg" Type="http://schemas.openxmlformats.org/officeDocument/2006/relationships/image" /><Relationship Id="rId154" Target="media/image131.png" Type="http://schemas.openxmlformats.org/officeDocument/2006/relationships/image" /><Relationship Id="rId16" Target="media/image51.jpg" Type="http://schemas.openxmlformats.org/officeDocument/2006/relationships/image" /><Relationship Id="rId37" Target="media/image26.jpg" Type="http://schemas.openxmlformats.org/officeDocument/2006/relationships/image" /><Relationship Id="rId58" Target="media/image47.jpeg" Type="http://schemas.openxmlformats.org/officeDocument/2006/relationships/image" /><Relationship Id="rId79" Target="media/image61.jpg" Type="http://schemas.openxmlformats.org/officeDocument/2006/relationships/image" /><Relationship Id="rId102" Target="media/image78.jpg" Type="http://schemas.openxmlformats.org/officeDocument/2006/relationships/image" /><Relationship Id="rId123" Target="media/image96.jpg" Type="http://schemas.openxmlformats.org/officeDocument/2006/relationships/image" /><Relationship Id="rId144" Target="media/image111.jpg" Type="http://schemas.openxmlformats.org/officeDocument/2006/relationships/image" /><Relationship Id="rId90" Target="media/image610.jpg" Type="http://schemas.openxmlformats.org/officeDocument/2006/relationships/image" /><Relationship Id="rId165" Target="media/image1120.jpg" Type="http://schemas.openxmlformats.org/officeDocument/2006/relationships/image" /><Relationship Id="rId27" Target="media/image16.jpg" Type="http://schemas.openxmlformats.org/officeDocument/2006/relationships/image" /><Relationship Id="rId48" Target="media/image34.jpg" Type="http://schemas.openxmlformats.org/officeDocument/2006/relationships/image" /><Relationship Id="rId69" Target="media/image53.png" Type="http://schemas.openxmlformats.org/officeDocument/2006/relationships/image" /><Relationship Id="rId113" Target="media/image86.jpg" Type="http://schemas.openxmlformats.org/officeDocument/2006/relationships/image" /><Relationship Id="rId134" Target="media/image940.jpg" Type="http://schemas.openxmlformats.org/officeDocument/2006/relationships/image" /><Relationship Id="rId80" Target="media/image62.jpg" Type="http://schemas.openxmlformats.org/officeDocument/2006/relationships/image" /><Relationship Id="rId155" Target="media/image132.png" Type="http://schemas.openxmlformats.org/officeDocument/2006/relationships/image" /><Relationship Id="rId17" Target="media/image6.jpg" Type="http://schemas.openxmlformats.org/officeDocument/2006/relationships/image" /><Relationship Id="rId38" Target="media/image27.jpg" Type="http://schemas.openxmlformats.org/officeDocument/2006/relationships/image" /><Relationship Id="rId59" Target="media/image48.jpeg" Type="http://schemas.openxmlformats.org/officeDocument/2006/relationships/image" /><Relationship Id="rId103" Target="media/image86.png" Type="http://schemas.openxmlformats.org/officeDocument/2006/relationships/image" /><Relationship Id="rId124" Target="media/image97.jp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135</Pages>
  <Words>16974</Words>
  <Characters>96753</Characters>
  <Application>Microsoft Office Word</Application>
  <DocSecurity>0</DocSecurity>
  <Lines>806</Lines>
  <Paragraphs>226</Paragraphs>
  <ScaleCrop>false</ScaleCrop>
  <Company/>
  <LinksUpToDate>false</LinksUpToDate>
  <CharactersWithSpaces>113501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2026-06-08T20:05:29Z</dcterms:created>
  <dcterms:modified xsi:type="dcterms:W3CDTF">2026-06-08T20:05:29Z</dcterms:modified>
</cp:coreProperties>
</file>

<file path=docProps/custom.xml><?xml version="1.0" encoding="utf-8"?>
<Properties xmlns="http://schemas.openxmlformats.org/officeDocument/2006/custom-properties" xmlns:vt="http://schemas.openxmlformats.org/officeDocument/2006/docPropsVTypes"/>
</file>