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jc w:val="center"/>
      </w:pPr>
      <w:r>
        <w:rPr>
          <w:rFonts w:ascii="Times New Roman" w:hAnsi="Times New Roman"/>
          <w:b/>
          <w:sz w:val="24"/>
        </w:rPr>
        <w:t>Введение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Уважаемый председатель и члены государственной экзаменационной комиссии, вашему вниманию представлена выпускная квалификационная работа по теме «Исследование фермы из легких стальных тонкостенных конструкций с болтовыми соединениями».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Цель работы: исследовать конструктивные решения и устранить ряд существующих недостатков фермы из легких стальных тонкостенных конструкций (ЛСТК).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Объект исследования — легкие стальные тонкостенные конструкции (ЛСТК).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Предмет исследования — ферма из ЛСТК пролетом 2×18 м.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Практическая значимость: результаты работы могут быть использованы для прочностного анализа аналогичных конструкций; в работе указаны перспективные направления дальнейших исследований.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Актуальность темы: фермы из ЛСТК широко применяются в промышленном и гражданском строительстве благодаря прочности, легкости и экономичности. Вместе с тем нормативная база по расчету ферм из ЛСТК в России остается недостаточно развитой в отличие от зарубежных стандартов. Работы таких ученых, как Тимошенко С.П., Власов В.З., Перельмутер А.В., внесли значительный вклад в теорию, однако практическое применение в нормах получило развитие преимущественно за рубежом. Это препятствует широкому внедрению ферм из ЛСТК в отечественную практику.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В задачи исследования входит: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анализ состояния вопроса в отечественных и зарубежных нормах;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исследование работы конструкции на статическую прочность и устойчивость методом конечных элементов в объемной постановке;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проверка сходимости результатов расчета объемной и стержневой моделей;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экспериментальная проверка нормативных рекомендаций для расчета болтовых соединений в случае тонкостенных (1,5-2 мм) профилей.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center"/>
      </w:pPr>
      <w:r>
        <w:rPr>
          <w:rFonts w:ascii="Times New Roman" w:hAnsi="Times New Roman"/>
          <w:b/>
          <w:sz w:val="24"/>
        </w:rPr>
        <w:t>Глава 1. Обзор состояния вопроса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В первой главе рассмотрены основные достоинства и недостатки легких стальных тонкостенных конструкций, область их применения, а также обзор нормативной базы в России и за рубежом.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Легкие стальные тонкостенные конструкции (ЛСТК) представляют собой холодноформованные профили из тонкого листового проката толщиной до 4 мм. Основной элемент — тонкостенный холодногнутый оцинкованный профиль. Характерные черты ЛСТК: малая металлоемкость, высокая технологичность, простота логистики, высокая степень заводской готовности. ЛСТК применяются в жилых, общественных, производственных и сельскохозяйственных зданиях, а также при реконструкции — в частности, при надстройке мансардных этажей и устройстве вентилируемых фасадов.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В главе рассмотрены кривые предельного загружения и критические нагрузки для элементов из ЛСТК. Расчет в стержневой постановке позволяет получить эпюры усилий и произвести подбор сечений из условий прочности. Однако стержневая модель имеет ограничения: она не учитывает концентрацию напряжений в околоузловых зонах и реальное защемление стержней в узлах, что требует применения объемных конечноэлементных моделей.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center"/>
      </w:pPr>
      <w:r>
        <w:rPr>
          <w:rFonts w:ascii="Times New Roman" w:hAnsi="Times New Roman"/>
          <w:b/>
          <w:sz w:val="24"/>
        </w:rPr>
        <w:t>Глава 2. Экспериментальная часть и совершенствование методики расчета ферм из ЛСТК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Вторая глава посвящена численному моделированию образцов, натурным испытаниям болтовых соединений и статическому расчету фермы с применением объемных конечных элементов.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Численное моделирование образца выполнено в программном комплексе ANSYS в конструктивно-нелинейной постановке с линейной работой материала. К модели была приложена разрушающая нагрузка 165 кН. Расчет выявил высокий коэффициент концентрации напряжений в зоне узлов, что объясняется конструктивным решением присоединения профилей.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По итогам численного моделирования подготовлены и испытаны образцы болтовых соединений — одноболтовые и многоболтовые — на разрушающую нагрузку. Основные результаты испытаний: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По одноболтовым соединениям: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несущая способность оказалась выше теоретической: коэффициент запаса составляет от 1,75 до 2,0;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разрушение происходит вследствие смятия тонкостенного профиля;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установлена прямая зависимость несущей способности от толщины профиля;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прямая зависимость несущей способности от диаметра болта не установлена — в тонкостенных профилях определяющим является смятие.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По многоболтовым соединениям: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несущая способность выше теоретической: коэффициент запаса составляет от 1,23 до 1,75;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разрушение происходит вследствие смятия профиля или разрыва по ослабленному сечению;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разрыв по ослабленному сечению происходит при нагрузке ниже теоретической несущей способности профиля: коэффициент запаса от 0,76 до 0,89, что свидетельствует о необходимости уточнения методики расчета.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Статический расчет фермы пролетом 2×18 м методом конечных элементов (объемная постановка, ANSYS) позволил оценить величины напряжений и искривления силовых линий вблизи узлов. Эти данные недоступны при расчете в стержневой постановке.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center"/>
      </w:pPr>
      <w:r>
        <w:rPr>
          <w:rFonts w:ascii="Times New Roman" w:hAnsi="Times New Roman"/>
          <w:b/>
          <w:sz w:val="24"/>
        </w:rPr>
        <w:t>Глава 3. Численное моделирование фермы на устойчивость и модифицированная ферма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В третьей главе выполнены расчет базовой фермы на устойчивость, сравнение результатов объемной и стержневой моделей, разработка и расчет модифицированной фермы, а также сравнительный анализ стоимости.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Расчет на устойчивость базовой фермы. Потеря устойчивости наблюдалась в двух формах: выход сжатого раскоса из плоскости (коэффициент запаса 2,8) и общая форма выхода верхнего пояса из плоскости (коэффициент запаса 4,5). Полученные значения удовлетворяют нормативным требованиям.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Сравнение объемной и стержневой моделей. Расхождение по перемещениям составило около 6% в пользу объемной модели; опорные реакции совпали с удовлетворительной точностью. Различия объясняются неполным учетом собственного веса диафрагм в объемной модели и разным способом приложения нагрузок в двух постановках.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Модифицированная ферма. В целях повышения запаса прочности и устойчивости, а также оптимизации по стоимости предложены следующие изменения: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нижний пояс заменен на сварной двутавр из черного металла, что упростило монтаж, увеличило эффективную высоту фермы и снизило металлоемкость;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сечения растянутых раскосов заменены на одиночный профиль ПГС-СИГМА, положенный на ребро, что повысило сопротивляемость взаимному сдвигу полуферм и снизило коэффициент концентрации напряжений в узлах с 200% до 112%.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По результатам расчета модифицированной фермы: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прогибы уменьшились на 20% по сравнению с базовой фермой;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коэффициент запаса по устойчивости сжатого раскоса увеличился в 1,5 раза (до 4,2);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изополя напряжений выровнялись, что отвечает принципу равнопрочности.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Экономические показатели. Стоимость исследуемой (базовой) фермы составила 242 000 рублей; стоимость модифицированной фермы — 216 280 рублей. Экономия по стоимости составляет 10,6%.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center"/>
      </w:pPr>
      <w:r>
        <w:rPr>
          <w:rFonts w:ascii="Times New Roman" w:hAnsi="Times New Roman"/>
          <w:b/>
          <w:sz w:val="24"/>
        </w:rPr>
        <w:t>Заключение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Принятые в выпускной квалификационной работе решения основаны на результатах численного моделирования в ANSYS и натурных испытаний образцов болтовых соединений.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Основные выводы: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выявлена недостаточность стержневой модели относительно объемной в части оценки концентрации напряжений в околоузловых зонах и учета реального защемления стержней в узлах;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испытания болтовых соединений выявили несоответствие реальных усилий расчетным, что требует уточнения методики расчета болтовых соединений для тонкостенных профилей;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разработанная модификация фермы повысила устойчивость отдельных стержней в 1,5 раза, жесткость конструкции — на 20%, и обеспечила экономию стоимости 10,6%;</w:t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- для обеспечения стабильной работы многоболтовых соединений целесообразно уменьшать разность диаметров отверстий и болтов.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p>
      <w:pPr>
        <w:pStyle w:val="NoSpacing"/>
        <w:jc w:val="both"/>
      </w:pPr>
      <w:r>
        <w:rPr>
          <w:rFonts w:ascii="Times New Roman" w:hAnsi="Times New Roman"/>
          <w:b w:val="0"/>
          <w:sz w:val="24"/>
        </w:rPr>
        <w:t>Спасибо за внимание.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