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bidi/>
        <w:jc w:val="right"/>
      </w:pPr>
      <w:r>
        <w:t>١. فهمنا لنطاق العمل</w:t>
      </w:r>
    </w:p>
    <w:p>
      <w:pPr>
        <w:pStyle w:val="Heading2"/>
        <w:bidi/>
        <w:jc w:val="right"/>
      </w:pPr>
      <w:r>
        <w:t>١.١ نظرة عامة على المشروع</w:t>
      </w:r>
    </w:p>
    <w:p>
      <w:pPr>
        <w:pStyle w:val="Heading3"/>
        <w:bidi/>
        <w:jc w:val="right"/>
      </w:pPr>
      <w:r>
        <w:t>١.١.١ وصف برنامج ديوان الابتكار</w:t>
      </w:r>
    </w:p>
    <w:p>
      <w:pPr>
        <w:bidi/>
        <w:jc w:val="right"/>
      </w:pPr>
      <w:r>
        <w:t>برنامج ديوان الابتكار هو مبادرة فريدة تتبع نموذج التعهيد الجماعي لتوليد حلول مبتكرة للتحديات المحلية التي تواجهها المجتمعات في المملكة العربية السعودية. وهو الآن في دورته الرابعة، ويشمل البرنامج أربع مراحل رئيسية:</w:t>
      </w:r>
    </w:p>
    <w:p>
      <w:pPr>
        <w:pStyle w:val="ListNumber"/>
        <w:bidi/>
        <w:jc w:val="right"/>
      </w:pPr>
      <w:r>
        <w:t>تقديم الأفكار</w:t>
      </w:r>
    </w:p>
    <w:p>
      <w:pPr>
        <w:pStyle w:val="ListNumber"/>
        <w:bidi/>
        <w:jc w:val="right"/>
      </w:pPr>
      <w:r>
        <w:t>معسكرات التدريب</w:t>
      </w:r>
    </w:p>
    <w:p>
      <w:pPr>
        <w:pStyle w:val="ListNumber"/>
        <w:bidi/>
        <w:jc w:val="right"/>
      </w:pPr>
      <w:r>
        <w:t>العرض</w:t>
      </w:r>
    </w:p>
    <w:p>
      <w:pPr>
        <w:pStyle w:val="ListNumber"/>
        <w:bidi/>
        <w:jc w:val="right"/>
      </w:pPr>
      <w:r>
        <w:t>تبني الحلول</w:t>
      </w:r>
    </w:p>
    <w:p>
      <w:pPr>
        <w:bidi/>
        <w:jc w:val="right"/>
      </w:pPr>
      <w:r>
        <w:t>هذا النهج الشامل يشجع الشباب على تطبيق تفكيرهم وإمكانية تنفيذ أفكارهم مع المتبنين والشركاء.</w:t>
      </w:r>
    </w:p>
    <w:p>
      <w:pPr>
        <w:pStyle w:val="Heading3"/>
        <w:bidi/>
        <w:jc w:val="right"/>
      </w:pPr>
      <w:r>
        <w:t>١.١.٢ غرض البرنامج ورؤيته</w:t>
      </w:r>
    </w:p>
    <w:p>
      <w:pPr>
        <w:bidi/>
        <w:jc w:val="right"/>
      </w:pPr>
      <w:r>
        <w:t>الغرض: معالجة تحديات المجتمع من خلال إشراك الشباب في معسكر تدريب لتصميم الحلول وربطهم بالرعاة لتبني حلولهم وتنفيذها بشكل محتمل.</w:t>
      </w:r>
    </w:p>
    <w:p>
      <w:pPr>
        <w:bidi/>
        <w:jc w:val="right"/>
      </w:pPr>
      <w:r>
        <w:t>الرؤية: تمكين المجتمع المحلي والشباب السعودي من المساهمة بنشاط في حلول تحديات المجتمع في المملكة العربية السعودية.</w:t>
      </w:r>
    </w:p>
    <w:p>
      <w:pPr>
        <w:pStyle w:val="Heading3"/>
        <w:bidi/>
        <w:jc w:val="right"/>
      </w:pPr>
      <w:r>
        <w:t>١.١.٣ مهمة البرنامج وأهدافه</w:t>
      </w:r>
    </w:p>
    <w:p>
      <w:pPr>
        <w:bidi/>
        <w:jc w:val="right"/>
      </w:pPr>
      <w:r>
        <w:t>المهمة: جمع الحلول (الأفكار) من الشباب السعودي والمنظمات لمعالجة تحديات ومشاكل المجتمع. قد توفر هذه الحلول فرص تطوع ومؤسسات اجتماعية و/أو مبادرات.</w:t>
      </w:r>
    </w:p>
    <w:p>
      <w:pPr>
        <w:bidi/>
        <w:jc w:val="right"/>
      </w:pPr>
      <w:r>
        <w:t>الأهداف: ١. زيادة الوعي والمشاركة في تحديات المجتمع بين الشباب السعودي. ٢. جمع أفكار المجتمع لحل التحديات المجتمعية ذات الأولوية من خلال عملية جذابة. ٣. تطوير الأفكار إلى حلول من خلال معسكر تدريب ابتكاري منظم بشكل جيد. ٤. عرض أفضل الأفكار وخطط الحلول للرعاة المحتملين. ٥. تطوير النماذج الأولية للحلول الـ ١٥ الأفضل ليتم رعايتها.</w:t>
      </w:r>
    </w:p>
    <w:p>
      <w:pPr>
        <w:pStyle w:val="Heading2"/>
        <w:bidi/>
        <w:jc w:val="right"/>
      </w:pPr>
      <w:r>
        <w:t>١.٢ المكونات الرئيسية للمشروع</w:t>
      </w:r>
    </w:p>
    <w:p>
      <w:pPr>
        <w:pStyle w:val="Heading3"/>
        <w:bidi/>
        <w:jc w:val="right"/>
      </w:pPr>
      <w:r>
        <w:t>١.٢.١ تحديد التحديات</w:t>
      </w:r>
    </w:p>
    <w:p>
      <w:pPr>
        <w:bidi/>
        <w:jc w:val="right"/>
      </w:pPr>
      <w:r>
        <w:t>سيركز البرنامج على خمسة تحديات رئيسية، مع تحديد تحديات فرعية لكل منها. تضمن هذه العملية نهجًا شاملاً لمعالجة احتياجات المجتمع المتنوعة.</w:t>
      </w:r>
    </w:p>
    <w:p>
      <w:pPr>
        <w:pStyle w:val="Heading3"/>
        <w:bidi/>
        <w:jc w:val="right"/>
      </w:pPr>
      <w:r>
        <w:t>١.٢.٢ تقديم الأفكار</w:t>
      </w:r>
    </w:p>
    <w:p>
      <w:pPr>
        <w:bidi/>
        <w:jc w:val="right"/>
      </w:pPr>
      <w:r>
        <w:t>سيقدم المشاركون أفكارهم الهادفة إلى حل التحديات أو القضايا الاجتماعية. الهدف هو تلقي ما لا يقل عن ٢,٥٠٠ فكرة مقدمة.</w:t>
      </w:r>
    </w:p>
    <w:p>
      <w:pPr>
        <w:pStyle w:val="Heading3"/>
        <w:bidi/>
        <w:jc w:val="right"/>
      </w:pPr>
      <w:r>
        <w:t>١.٢.٣ معسكر التدريب (الافتراضي والفعلي)</w:t>
      </w:r>
    </w:p>
    <w:p>
      <w:pPr>
        <w:bidi/>
        <w:jc w:val="right"/>
      </w:pPr>
      <w:r>
        <w:t>يتكون معسكر التدريب من مرحلتين:</w:t>
      </w:r>
    </w:p>
    <w:p>
      <w:pPr>
        <w:pStyle w:val="ListNumber"/>
        <w:bidi/>
        <w:jc w:val="right"/>
      </w:pPr>
      <w:r>
        <w:t>معسكر التدريب الافتراضي:</w:t>
      </w:r>
    </w:p>
    <w:p>
      <w:pPr>
        <w:pStyle w:val="ListNumber"/>
        <w:bidi/>
        <w:jc w:val="right"/>
      </w:pPr>
      <w:r>
        <w:t>المدة: ١٠-١٤ يومًا</w:t>
      </w:r>
    </w:p>
    <w:p>
      <w:pPr>
        <w:pStyle w:val="ListNumber"/>
        <w:bidi/>
        <w:jc w:val="right"/>
      </w:pPr>
      <w:r>
        <w:t>المشاركون: ٧٠ فريقًا</w:t>
      </w:r>
    </w:p>
    <w:p>
      <w:pPr>
        <w:pStyle w:val="ListNumber"/>
        <w:bidi/>
        <w:jc w:val="right"/>
      </w:pPr>
      <w:r>
        <w:t>المنصة: منصات إبداعية مثل Miro أو Gather Town</w:t>
      </w:r>
    </w:p>
    <w:p>
      <w:pPr>
        <w:pStyle w:val="ListNumber"/>
        <w:bidi/>
        <w:jc w:val="right"/>
      </w:pPr>
      <w:r>
        <w:t>معسكر التدريب الفعلي:</w:t>
      </w:r>
    </w:p>
    <w:p>
      <w:pPr>
        <w:pStyle w:val="ListNumber"/>
        <w:bidi/>
        <w:jc w:val="right"/>
      </w:pPr>
      <w:r>
        <w:t>المدة: ٤ أيام</w:t>
      </w:r>
    </w:p>
    <w:p>
      <w:pPr>
        <w:pStyle w:val="ListNumber"/>
        <w:bidi/>
        <w:jc w:val="right"/>
      </w:pPr>
      <w:r>
        <w:t>المشاركون: ٣٥ فريقًا</w:t>
      </w:r>
    </w:p>
    <w:p>
      <w:pPr>
        <w:bidi/>
        <w:jc w:val="right"/>
      </w:pPr>
      <w:r>
        <w:t>ستستخدم كلتا المرحلتين منهجيات التفكير التصميمي وتصميم الخدمات لتطوير الحلول بشكل شامل. يهدف معسكر التدريب إلى إعداد الفرق وتطوير نماذج الأعمال والخطط التجارية للتنفيذ والتبني.</w:t>
      </w:r>
    </w:p>
    <w:p>
      <w:pPr>
        <w:pStyle w:val="Heading3"/>
        <w:bidi/>
        <w:jc w:val="right"/>
      </w:pPr>
      <w:r>
        <w:t>١.٢.٤ اختيار الفائزين</w:t>
      </w:r>
    </w:p>
    <w:p>
      <w:pPr>
        <w:bidi/>
        <w:jc w:val="right"/>
      </w:pPr>
      <w:r>
        <w:t>بعد معسكر التدريب، سيتم تقديم الحلول إلى لجنة من الحكام. ستفوز الفرق الـ ١٥ الأفضل بفرصة تقديم أفكارها للمتبنين المحتملين.</w:t>
      </w:r>
    </w:p>
    <w:p>
      <w:pPr>
        <w:pStyle w:val="Heading3"/>
        <w:bidi/>
        <w:jc w:val="right"/>
      </w:pPr>
      <w:r>
        <w:t>١.٢.٥ تطوير النموذج الأولي</w:t>
      </w:r>
    </w:p>
    <w:p>
      <w:pPr>
        <w:bidi/>
        <w:jc w:val="right"/>
      </w:pPr>
      <w:r>
        <w:t>سيتم تطوير الحلول الـ ١٥ الأفضل إلى نماذج أولية ناضجة وعالية الجودة جاهزة للتنفيذ والرعاية.</w:t>
      </w:r>
    </w:p>
    <w:p>
      <w:pPr>
        <w:pStyle w:val="Heading3"/>
        <w:bidi/>
        <w:jc w:val="right"/>
      </w:pPr>
      <w:r>
        <w:t>١.٢.٦ العرض والتبني</w:t>
      </w:r>
    </w:p>
    <w:p>
      <w:pPr>
        <w:bidi/>
        <w:jc w:val="right"/>
      </w:pPr>
      <w:r>
        <w:t>سيتم تنظيم حدث للعرض للفائزين لتقديم حلولهم للرعاة المحتملين. تهدف هذه المرحلة إلى ضمان دعم التنفيذ لصالح المجتمع.</w:t>
      </w:r>
    </w:p>
    <w:p>
      <w:pPr>
        <w:pStyle w:val="Heading2"/>
        <w:bidi/>
        <w:jc w:val="right"/>
      </w:pPr>
      <w:r>
        <w:t>١.٣ مقاييس المشروع والجدول الزمني</w:t>
      </w:r>
    </w:p>
    <w:p>
      <w:pPr>
        <w:pStyle w:val="Heading3"/>
        <w:bidi/>
        <w:jc w:val="right"/>
      </w:pPr>
      <w:r>
        <w:t>١.٣.١ مؤشرات الأداء الرئيسية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المقياس</w:t>
            </w:r>
          </w:p>
        </w:tc>
        <w:tc>
          <w:tcPr>
            <w:tcW w:type="dxa" w:w="0"/>
          </w:tcPr>
          <w:p>
            <w:r>
              <w:t>الهدف</w:t>
            </w:r>
          </w:p>
        </w:tc>
      </w:tr>
      <w:tr>
        <w:tc>
          <w:tcPr>
            <w:tcW w:type="dxa" w:w="0"/>
          </w:tcPr>
          <w:p>
            <w:r>
              <w:t>المشاركون المسجلون</w:t>
            </w:r>
          </w:p>
        </w:tc>
        <w:tc>
          <w:tcPr>
            <w:tcW w:type="dxa" w:w="0"/>
          </w:tcPr>
          <w:p>
            <w:r>
              <w:t>٦,٠٠٠</w:t>
            </w:r>
          </w:p>
        </w:tc>
      </w:tr>
      <w:tr>
        <w:tc>
          <w:tcPr>
            <w:tcW w:type="dxa" w:w="0"/>
          </w:tcPr>
          <w:p>
            <w:r>
              <w:t>الأفكار المقدمة</w:t>
            </w:r>
          </w:p>
        </w:tc>
        <w:tc>
          <w:tcPr>
            <w:tcW w:type="dxa" w:w="0"/>
          </w:tcPr>
          <w:p>
            <w:r>
              <w:t>٢,٥٠٠</w:t>
            </w:r>
          </w:p>
        </w:tc>
      </w:tr>
      <w:tr>
        <w:tc>
          <w:tcPr>
            <w:tcW w:type="dxa" w:w="0"/>
          </w:tcPr>
          <w:p>
            <w:r>
              <w:t>الحلول الجيدة المقدمة</w:t>
            </w:r>
          </w:p>
        </w:tc>
        <w:tc>
          <w:tcPr>
            <w:tcW w:type="dxa" w:w="0"/>
          </w:tcPr>
          <w:p>
            <w:r>
              <w:t>٧٠</w:t>
            </w:r>
          </w:p>
        </w:tc>
      </w:tr>
      <w:tr>
        <w:tc>
          <w:tcPr>
            <w:tcW w:type="dxa" w:w="0"/>
          </w:tcPr>
          <w:p>
            <w:r>
              <w:t>الحلول الجاهزة للدعم/التنفيذ</w:t>
            </w:r>
          </w:p>
        </w:tc>
        <w:tc>
          <w:tcPr>
            <w:tcW w:type="dxa" w:w="0"/>
          </w:tcPr>
          <w:p>
            <w:r>
              <w:t>٧</w:t>
            </w:r>
          </w:p>
        </w:tc>
      </w:tr>
      <w:tr>
        <w:tc>
          <w:tcPr>
            <w:tcW w:type="dxa" w:w="0"/>
          </w:tcPr>
          <w:p>
            <w:r>
              <w:t>NPS (درجة صافي الترويج) لمعسكر التدريب</w:t>
            </w:r>
          </w:p>
        </w:tc>
        <w:tc>
          <w:tcPr>
            <w:tcW w:type="dxa" w:w="0"/>
          </w:tcPr>
          <w:p>
            <w:r>
              <w:t>٩٠</w:t>
            </w:r>
          </w:p>
        </w:tc>
      </w:tr>
      <w:tr>
        <w:tc>
          <w:tcPr>
            <w:tcW w:type="dxa" w:w="0"/>
          </w:tcPr>
          <w:p>
            <w:r>
              <w:t>الحلول المؤهلة لمرحلة النموذج الأولي</w:t>
            </w:r>
          </w:p>
        </w:tc>
        <w:tc>
          <w:tcPr>
            <w:tcW w:type="dxa" w:w="0"/>
          </w:tcPr>
          <w:p>
            <w:r>
              <w:t>١٥</w:t>
            </w:r>
          </w:p>
        </w:tc>
      </w:tr>
    </w:tbl>
    <w:p>
      <w:pPr>
        <w:bidi/>
        <w:jc w:val="right"/>
      </w:pPr>
      <w:r>
        <w:t xml:space="preserve"> ١.٣.٢ مدة المشروع والمعالم الرئيسية</w:t>
      </w:r>
    </w:p>
    <w:p>
      <w:pPr>
        <w:bidi/>
        <w:jc w:val="right"/>
      </w:pPr>
      <w:r>
        <w:t>الجدول الزمني للمشروع محدد بـ ٥ أشهر و٧ أيام، كما هو محدد في طلب تقديم العروض:</w:t>
      </w:r>
    </w:p>
    <w:p>
      <w:pPr>
        <w:pStyle w:val="ListBullet"/>
        <w:bidi/>
        <w:jc w:val="right"/>
      </w:pPr>
      <w:r>
        <w:t>تاريخ البدء: ٢٤ مارس ٢٠٢٤</w:t>
      </w:r>
    </w:p>
    <w:p>
      <w:pPr>
        <w:pStyle w:val="ListBullet"/>
        <w:bidi/>
        <w:jc w:val="right"/>
      </w:pPr>
      <w:r>
        <w:t>تاريخ الانتهاء: ٣١ أغسطس ٢٠٢٤</w:t>
      </w:r>
    </w:p>
    <w:p>
      <w:pPr>
        <w:bidi/>
        <w:jc w:val="right"/>
      </w:pPr>
      <w:r>
        <w:t>تشمل المعالم الرئيسية ضمن هذا الإطار الزمني:</w:t>
      </w:r>
    </w:p>
    <w:p>
      <w:pPr>
        <w:pStyle w:val="ListNumber"/>
        <w:bidi/>
        <w:jc w:val="right"/>
      </w:pPr>
      <w:r>
        <w:t>تحديد التحديات وإعداد المنصة</w:t>
      </w:r>
    </w:p>
    <w:p>
      <w:pPr>
        <w:pStyle w:val="ListNumber"/>
        <w:bidi/>
        <w:jc w:val="right"/>
      </w:pPr>
      <w:r>
        <w:t>فترة تقديم الأفكار</w:t>
      </w:r>
    </w:p>
    <w:p>
      <w:pPr>
        <w:pStyle w:val="ListNumber"/>
        <w:bidi/>
        <w:jc w:val="right"/>
      </w:pPr>
      <w:r>
        <w:t>معسكر التدريب الافتراضي (١٠-١٤ يومًا)</w:t>
      </w:r>
    </w:p>
    <w:p>
      <w:pPr>
        <w:pStyle w:val="ListNumber"/>
        <w:bidi/>
        <w:jc w:val="right"/>
      </w:pPr>
      <w:r>
        <w:t>معسكر التدريب الفعلي (٤ أيام)</w:t>
      </w:r>
    </w:p>
    <w:p>
      <w:pPr>
        <w:pStyle w:val="ListNumber"/>
        <w:bidi/>
        <w:jc w:val="right"/>
      </w:pPr>
      <w:r>
        <w:t>اختيار الفائزين</w:t>
      </w:r>
    </w:p>
    <w:p>
      <w:pPr>
        <w:pStyle w:val="ListNumber"/>
        <w:bidi/>
        <w:jc w:val="right"/>
      </w:pPr>
      <w:r>
        <w:t>تطوير النموذج الأولي للحلول الـ ١٥ الأفضل</w:t>
      </w:r>
    </w:p>
    <w:p>
      <w:pPr>
        <w:pStyle w:val="ListNumber"/>
        <w:bidi/>
        <w:jc w:val="right"/>
      </w:pPr>
      <w:r>
        <w:t>حدث العرض والتبني</w:t>
      </w:r>
    </w:p>
    <w:p>
      <w:pPr>
        <w:pStyle w:val="Heading2"/>
        <w:bidi/>
        <w:jc w:val="right"/>
      </w:pPr>
      <w:r>
        <w:t>١.٤ البنية التحتية التقنية والدعم</w:t>
      </w:r>
    </w:p>
    <w:p>
      <w:pPr>
        <w:pStyle w:val="Heading3"/>
        <w:bidi/>
        <w:jc w:val="right"/>
      </w:pPr>
      <w:r>
        <w:t>١.٤.١ تطوير المنصة</w:t>
      </w:r>
    </w:p>
    <w:p>
      <w:pPr>
        <w:bidi/>
        <w:jc w:val="right"/>
      </w:pPr>
      <w:r>
        <w:t>تم تطوير منصة مخصصة لديوان الابتكار. سيتم استخدام هذه المنصة لتقديم الأفكار، وإشراك المشاركين، وإدارة البرنامج.</w:t>
      </w:r>
    </w:p>
    <w:p>
      <w:pPr>
        <w:pStyle w:val="Heading3"/>
        <w:bidi/>
        <w:jc w:val="right"/>
      </w:pPr>
      <w:r>
        <w:t>١.٤.٢ استراتيجية التسويق والاتصال</w:t>
      </w:r>
    </w:p>
    <w:p>
      <w:pPr>
        <w:bidi/>
        <w:jc w:val="right"/>
      </w:pPr>
      <w:r>
        <w:t>ستدعم وكالة التسويق/الاتصال المعينة من قبل مسك جميع الأنشطة ذات الصلة. بينما ستتحمل مسك التكاليف، سيتعاون فريقنا بشكل وثيق مع فريق مسك هب لضمان التنفيذ الفعال لاحتياجات التسويق والاتصال للمشروع.</w:t>
      </w:r>
    </w:p>
    <w:p>
      <w:pPr>
        <w:pStyle w:val="Heading2"/>
        <w:bidi/>
        <w:jc w:val="right"/>
      </w:pPr>
      <w:r>
        <w:t>١.٥ تفاصيل البرنامج</w:t>
      </w:r>
    </w:p>
    <w:p>
      <w:pPr>
        <w:pStyle w:val="Heading3"/>
        <w:bidi/>
        <w:jc w:val="right"/>
      </w:pPr>
      <w:r>
        <w:t>١.٥.١ التمثيل الوطني</w:t>
      </w:r>
    </w:p>
    <w:p>
      <w:pPr>
        <w:bidi/>
        <w:jc w:val="right"/>
      </w:pPr>
      <w:r>
        <w:t>يهدف المشروع إلى تمثيل من كل منطقة في المملكة العربية السعودية، مما يضمن تأثيرًا وطنيًا حقيقيًا.</w:t>
      </w:r>
    </w:p>
    <w:p>
      <w:pPr>
        <w:pStyle w:val="Heading3"/>
        <w:bidi/>
        <w:jc w:val="right"/>
      </w:pPr>
      <w:r>
        <w:t>١.٥.٢ اللغة وتقديم المحتوى</w:t>
      </w:r>
    </w:p>
    <w:p>
      <w:pPr>
        <w:bidi/>
        <w:jc w:val="right"/>
      </w:pPr>
      <w:r>
        <w:t>سيكون جميع محتوى البرنامج وتقديمه باللغة العربية، لتلبية احتياجات الجمهور المحلي وضمان أقصى قدر من المشاركة.</w:t>
      </w:r>
    </w:p>
    <w:p>
      <w:pPr>
        <w:pStyle w:val="Heading3"/>
        <w:bidi/>
        <w:jc w:val="right"/>
      </w:pPr>
      <w:r>
        <w:t>١.٥.٣ تصميم تجربة المشارك</w:t>
      </w:r>
    </w:p>
    <w:p>
      <w:pPr>
        <w:bidi/>
        <w:jc w:val="right"/>
      </w:pPr>
      <w:r>
        <w:t>تم تصميم البرنامج لتوفير تجربة تحويلية للمشاركين والمجتمع. يشمل ذلك:</w:t>
      </w:r>
    </w:p>
    <w:p>
      <w:pPr>
        <w:pStyle w:val="ListBullet"/>
        <w:bidi/>
        <w:jc w:val="right"/>
      </w:pPr>
      <w:r>
        <w:t>جلسات معسكر تدريب تفاعلية</w:t>
      </w:r>
    </w:p>
    <w:p>
      <w:pPr>
        <w:pStyle w:val="ListBullet"/>
        <w:bidi/>
        <w:jc w:val="right"/>
      </w:pPr>
      <w:r>
        <w:t>فرص التوجيه</w:t>
      </w:r>
    </w:p>
    <w:p>
      <w:pPr>
        <w:pStyle w:val="ListBullet"/>
        <w:bidi/>
        <w:jc w:val="right"/>
      </w:pPr>
      <w:r>
        <w:t>فعاليات التواصل</w:t>
      </w:r>
    </w:p>
    <w:p>
      <w:pPr>
        <w:pStyle w:val="ListBullet"/>
        <w:bidi/>
        <w:jc w:val="right"/>
      </w:pPr>
      <w:r>
        <w:t>تطوير النموذج الأولي العملي</w:t>
      </w:r>
    </w:p>
    <w:p>
      <w:pPr>
        <w:pStyle w:val="Heading2"/>
        <w:bidi/>
        <w:jc w:val="right"/>
      </w:pPr>
      <w:r>
        <w:t>١.٦ التوافق مع أهداف العميل</w:t>
      </w:r>
    </w:p>
    <w:p>
      <w:pPr>
        <w:pStyle w:val="Heading3"/>
        <w:bidi/>
        <w:jc w:val="right"/>
      </w:pPr>
      <w:r>
        <w:t>١.٦.١ معالجة تحديات المجتمع</w:t>
      </w:r>
    </w:p>
    <w:p>
      <w:pPr>
        <w:bidi/>
        <w:jc w:val="right"/>
      </w:pPr>
      <w:r>
        <w:t>يساهم البرنامج مباشرة في هدف رؤية السعودية ٢٠٣٠ المتمثل في معالجة القضايا المجتمعية من خلال الحلول المبتكرة. من خلال التركيز على خمسة مجالات تحدي رئيسية، يضمن البرنامج نهجًا شاملاً لتنمية المجتمع.</w:t>
      </w:r>
    </w:p>
    <w:p>
      <w:pPr>
        <w:pStyle w:val="Heading3"/>
        <w:bidi/>
        <w:jc w:val="right"/>
      </w:pPr>
      <w:r>
        <w:t>١.٦.٢ إشراك الشباب وتمكينهم</w:t>
      </w:r>
    </w:p>
    <w:p>
      <w:pPr>
        <w:bidi/>
        <w:jc w:val="right"/>
      </w:pPr>
      <w:r>
        <w:t>يتوافق ديوان الابتكار مع تركيز رؤية ٢٠٣٠ على تنمية الشباب. يوفر البرنامج منصة للشباب السعودي للمساهمة بشكل هادف في مجتمعهم، مما يعزز الشعور بالملكية والمسؤولية.</w:t>
      </w:r>
    </w:p>
    <w:p>
      <w:pPr>
        <w:pStyle w:val="Heading3"/>
        <w:bidi/>
        <w:jc w:val="right"/>
      </w:pPr>
      <w:r>
        <w:t>١.٦.٣ تعزيز الابتكار وريادة الأعمال</w:t>
      </w:r>
    </w:p>
    <w:p>
      <w:pPr>
        <w:bidi/>
        <w:jc w:val="right"/>
      </w:pPr>
      <w:r>
        <w:t>يدعم هيكل البرنامج، من تقديم الأفكار إلى تطوير النموذج الأولي، هدف رؤية ٢٠٣٠ المتمثل في تعزيز الابتكار وريادة الأعمال في المملكة.</w:t>
      </w:r>
    </w:p>
    <w:p>
      <w:pPr>
        <w:pStyle w:val="Heading2"/>
        <w:bidi/>
        <w:jc w:val="right"/>
      </w:pPr>
      <w:r>
        <w:t>١.٧ بطاقة المشروع</w:t>
      </w:r>
    </w:p>
    <w:p>
      <w:pPr>
        <w:pStyle w:val="Heading3"/>
        <w:bidi/>
        <w:jc w:val="right"/>
      </w:pPr>
      <w:r>
        <w:t>١.٧.١ الهدف العام</w:t>
      </w:r>
    </w:p>
    <w:p>
      <w:pPr>
        <w:bidi/>
        <w:jc w:val="right"/>
      </w:pPr>
      <w:r>
        <w:t>جمع حلول مبتكرة لتحديات المجتمع المحلي في المملكة العربية السعودية، وتعزيز مشاركة الشباب وريادة الأعمال.</w:t>
      </w:r>
    </w:p>
    <w:p>
      <w:pPr>
        <w:pStyle w:val="Heading3"/>
        <w:bidi/>
        <w:jc w:val="right"/>
      </w:pPr>
      <w:r>
        <w:t>١.٧.٢ الفئة المستهدفة</w:t>
      </w:r>
    </w:p>
    <w:p>
      <w:pPr>
        <w:bidi/>
        <w:jc w:val="right"/>
      </w:pPr>
      <w:r>
        <w:t>الشباب السعودي من سن ١٨-٣٥، مع التركيز على طلاب الجامعات والمهنيين الشباب.</w:t>
      </w:r>
    </w:p>
    <w:p>
      <w:pPr>
        <w:pStyle w:val="Heading3"/>
        <w:bidi/>
        <w:jc w:val="right"/>
      </w:pPr>
      <w:r>
        <w:t>١.٧.٣ المنطقة الجغرافية</w:t>
      </w:r>
    </w:p>
    <w:p>
      <w:pPr>
        <w:bidi/>
        <w:jc w:val="right"/>
      </w:pPr>
      <w:r>
        <w:t>جميع مناطق المملكة العربية السعودية، لضمان التمثيل الوطني.</w:t>
      </w:r>
    </w:p>
    <w:p>
      <w:pPr>
        <w:pStyle w:val="Heading3"/>
        <w:bidi/>
        <w:jc w:val="right"/>
      </w:pPr>
      <w:r>
        <w:t>١.٧.٤ المدة</w:t>
      </w:r>
    </w:p>
    <w:p>
      <w:pPr>
        <w:bidi/>
        <w:jc w:val="right"/>
      </w:pPr>
      <w:r>
        <w:t>٥ أشهر و٧ أيام (٢٤ مارس ٢٠٢٤ - ٣١ أغسطس ٢٠٢٤)</w:t>
      </w:r>
    </w:p>
    <w:p>
      <w:pPr>
        <w:pStyle w:val="Heading3"/>
        <w:bidi/>
        <w:jc w:val="right"/>
      </w:pPr>
      <w:r>
        <w:t>١.٧.٥ الأهداف المحددة</w:t>
      </w:r>
    </w:p>
    <w:p>
      <w:pPr>
        <w:pStyle w:val="ListNumber"/>
        <w:bidi/>
        <w:jc w:val="right"/>
      </w:pPr>
      <w:r>
        <w:t>إشراك ٦,٠٠٠ مشارك في البرنامج</w:t>
      </w:r>
    </w:p>
    <w:p>
      <w:pPr>
        <w:pStyle w:val="ListNumber"/>
        <w:bidi/>
        <w:jc w:val="right"/>
      </w:pPr>
      <w:r>
        <w:t>توليد ٢,٥٠٠ فكرة مقدمة</w:t>
      </w:r>
    </w:p>
    <w:p>
      <w:pPr>
        <w:pStyle w:val="ListNumber"/>
        <w:bidi/>
        <w:jc w:val="right"/>
      </w:pPr>
      <w:r>
        <w:t>تطوير ٧٠ حلاً عالي الجودة من خلال معسكرات التدريب</w:t>
      </w:r>
    </w:p>
    <w:p>
      <w:pPr>
        <w:pStyle w:val="ListNumber"/>
        <w:bidi/>
        <w:jc w:val="right"/>
      </w:pPr>
      <w:r>
        <w:t>إنشاء ١٥ نموذجًا أوليًا جاهزًا للتنفيذ</w:t>
      </w:r>
    </w:p>
    <w:p>
      <w:pPr>
        <w:pStyle w:val="ListNumber"/>
        <w:bidi/>
        <w:jc w:val="right"/>
      </w:pPr>
      <w:r>
        <w:t>تحقيق درجة ٩٠ في NPS لتجربة معسكر التدريب</w:t>
      </w:r>
    </w:p>
    <w:p>
      <w:pPr>
        <w:pStyle w:val="Heading3"/>
        <w:bidi/>
        <w:jc w:val="right"/>
      </w:pPr>
      <w:r>
        <w:t>١.٧.٦ المخرجات المتوقعة</w:t>
      </w:r>
    </w:p>
    <w:p>
      <w:pPr>
        <w:pStyle w:val="ListNumber"/>
        <w:bidi/>
        <w:jc w:val="right"/>
      </w:pPr>
      <w:r>
        <w:t>قاعدة بيانات للحلول المجتمعية المبتكرة</w:t>
      </w:r>
    </w:p>
    <w:p>
      <w:pPr>
        <w:pStyle w:val="ListNumber"/>
        <w:bidi/>
        <w:jc w:val="right"/>
      </w:pPr>
      <w:r>
        <w:t>١٥ نموذجًا أوليًا مطورًا بالكامل لمعالجة التحديات المحلية</w:t>
      </w:r>
    </w:p>
    <w:p>
      <w:pPr>
        <w:pStyle w:val="ListNumber"/>
        <w:bidi/>
        <w:jc w:val="right"/>
      </w:pPr>
      <w:r>
        <w:t>شبكة من المبتكرين ورواد الأعمال الشباب</w:t>
      </w:r>
    </w:p>
    <w:p>
      <w:pPr>
        <w:pStyle w:val="ListNumber"/>
        <w:bidi/>
        <w:jc w:val="right"/>
      </w:pPr>
      <w:r>
        <w:t>شراكات بين المبتكرين الشباب والرعاة المحتملين</w:t>
      </w:r>
    </w:p>
    <w:p>
      <w:pPr>
        <w:pStyle w:val="ListNumber"/>
        <w:bidi/>
        <w:jc w:val="right"/>
      </w:pPr>
      <w:r>
        <w:t>زيادة الوعي بتحديات المجتمع بين الشباب السعودي</w:t>
      </w:r>
    </w:p>
    <w:p>
      <w:pPr>
        <w:pStyle w:val="Heading2"/>
        <w:bidi/>
        <w:jc w:val="right"/>
      </w:pPr>
      <w:r>
        <w:t>١.٨ فهم سياق المشروع</w:t>
      </w:r>
    </w:p>
    <w:p>
      <w:pPr>
        <w:pStyle w:val="Heading3"/>
        <w:bidi/>
        <w:jc w:val="right"/>
      </w:pPr>
      <w:r>
        <w:t>١.٨.١ الصلة برؤية السعودية ٢٠٣٠</w:t>
      </w:r>
    </w:p>
    <w:p>
      <w:pPr>
        <w:bidi/>
        <w:jc w:val="right"/>
      </w:pPr>
      <w:r>
        <w:t>يتوافق برنامج ديوان الابتكار بشكل وثيق مع عدة أهداف رئيسية لرؤية السعودية ٢٠٣٠:</w:t>
      </w:r>
    </w:p>
    <w:p>
      <w:pPr>
        <w:pStyle w:val="ListNumber"/>
        <w:bidi/>
        <w:jc w:val="right"/>
      </w:pPr>
      <w:r>
        <w:t>تطوير رأس المال البشري: من خلال إشراك الشباب في حل المشكلات والابتكار، يساهم البرنامج في بناء قوى عاملة ماهرة.</w:t>
      </w:r>
    </w:p>
    <w:p>
      <w:pPr>
        <w:pStyle w:val="ListNumber"/>
        <w:bidi/>
        <w:jc w:val="right"/>
      </w:pPr>
      <w:r>
        <w:t>تنويع الاقتصاد: تشجيع ريادة الأعمال والابتكار يدعم هدف تقليل الاعتماد على عائدات النفط.</w:t>
      </w:r>
    </w:p>
    <w:p>
      <w:pPr>
        <w:pStyle w:val="ListNumber"/>
        <w:bidi/>
        <w:jc w:val="right"/>
      </w:pPr>
      <w:r>
        <w:t>تحسين جودة الحياة: التركيز على تحديات المجتمع يساهم مباشرة في تحسين مستويات المعيشة في جميع أنحاء المملكة.</w:t>
      </w:r>
    </w:p>
    <w:p>
      <w:pPr>
        <w:pStyle w:val="Heading3"/>
        <w:bidi/>
        <w:jc w:val="right"/>
      </w:pPr>
      <w:r>
        <w:t>١.٨.٢ التأثير على تنمية المجتمع</w:t>
      </w:r>
    </w:p>
    <w:p>
      <w:pPr>
        <w:bidi/>
        <w:jc w:val="right"/>
      </w:pPr>
      <w:r>
        <w:t>يضمن تركيز البرنامج على التحديات المحلية أن تكون الحلول مصممة خصيصًا لتلبية الاحتياجات المحددة للمجتمعات السعودية. يعزز هذا النهج التنمية المستدامة ويقوي التماسك الاجتماعي.</w:t>
      </w:r>
    </w:p>
    <w:p>
      <w:pPr>
        <w:pStyle w:val="Heading3"/>
        <w:bidi/>
        <w:jc w:val="right"/>
      </w:pPr>
      <w:r>
        <w:t>١.٨.٣ دور في رعاية المواهب الشابة</w:t>
      </w:r>
    </w:p>
    <w:p>
      <w:pPr>
        <w:bidi/>
        <w:jc w:val="right"/>
      </w:pPr>
      <w:r>
        <w:t>يعمل ديوان الابتكار كمنصة لتحديد ورعاية المواهب الشابة في المملكة العربية السعودية. من خلال توفير التوجيه والتدريب وفرص حل المشكلات في العالم الحقيقي، يساعد البرنامج في تطوير الجيل القادم من القادة والمبتكرين السعوديين.</w:t>
      </w:r>
    </w:p>
    <w:p>
      <w:pPr>
        <w:pStyle w:val="Heading2"/>
        <w:bidi/>
        <w:jc w:val="right"/>
      </w:pPr>
      <w:r>
        <w:t>١.٩ التحديات الرئيسية والحلول</w:t>
      </w:r>
    </w:p>
    <w:p>
      <w:pPr>
        <w:pStyle w:val="Heading3"/>
        <w:bidi/>
        <w:jc w:val="right"/>
      </w:pPr>
      <w:r>
        <w:t>١.٩.١ نقاط الألم المحددة</w:t>
      </w:r>
    </w:p>
    <w:p>
      <w:pPr>
        <w:pStyle w:val="ListNumber"/>
        <w:bidi/>
        <w:jc w:val="right"/>
      </w:pPr>
      <w:r>
        <w:t>إشراك مجموعة متنوعة من المشاركين عبر جميع المناطق</w:t>
      </w:r>
    </w:p>
    <w:p>
      <w:pPr>
        <w:pStyle w:val="ListNumber"/>
        <w:bidi/>
        <w:jc w:val="right"/>
      </w:pPr>
      <w:r>
        <w:t>ضمان تقديم أفكار عالية الجودة</w:t>
      </w:r>
    </w:p>
    <w:p>
      <w:pPr>
        <w:pStyle w:val="ListNumber"/>
        <w:bidi/>
        <w:jc w:val="right"/>
      </w:pPr>
      <w:r>
        <w:t>الحفاظ على مشاركة المشاركين طوال مدة البرنامج</w:t>
      </w:r>
    </w:p>
    <w:p>
      <w:pPr>
        <w:pStyle w:val="ListNumber"/>
        <w:bidi/>
        <w:jc w:val="right"/>
      </w:pPr>
      <w:r>
        <w:t>سد الفجوة بين الأفكار المبتكرة والتنفيذ العملي</w:t>
      </w:r>
    </w:p>
    <w:p>
      <w:pPr>
        <w:pStyle w:val="ListNumber"/>
        <w:bidi/>
        <w:jc w:val="right"/>
      </w:pPr>
      <w:r>
        <w:t>تأمين الدعم طويل الأجل للحلول المطورة</w:t>
      </w:r>
    </w:p>
    <w:p>
      <w:pPr>
        <w:pStyle w:val="Heading3"/>
        <w:bidi/>
        <w:jc w:val="right"/>
      </w:pPr>
      <w:r>
        <w:t>١.٩.٢ النهج المبتكرة المقترحة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التحدي</w:t>
            </w:r>
          </w:p>
        </w:tc>
        <w:tc>
          <w:tcPr>
            <w:tcW w:type="dxa" w:w="0"/>
          </w:tcPr>
          <w:p>
            <w:r>
              <w:t>الحل المبتكر</w:t>
            </w:r>
          </w:p>
        </w:tc>
      </w:tr>
      <w:tr>
        <w:tc>
          <w:tcPr>
            <w:tcW w:type="dxa" w:w="0"/>
          </w:tcPr>
          <w:p>
            <w:r>
              <w:t>التنوع الإقليمي</w:t>
            </w:r>
          </w:p>
        </w:tc>
        <w:tc>
          <w:tcPr>
            <w:tcW w:type="dxa" w:w="0"/>
          </w:tcPr>
          <w:p>
            <w:r>
              <w:t>تنفيذ استراتيجية توعية مستهدفة باستخدام المؤثرين المحليين والشراكات مع الجامعات الإقليمية</w:t>
            </w:r>
          </w:p>
        </w:tc>
      </w:tr>
      <w:tr>
        <w:tc>
          <w:tcPr>
            <w:tcW w:type="dxa" w:w="0"/>
          </w:tcPr>
          <w:p>
            <w:r>
              <w:t>جودة التقديمات</w:t>
            </w:r>
          </w:p>
        </w:tc>
        <w:tc>
          <w:tcPr>
            <w:tcW w:type="dxa" w:w="0"/>
          </w:tcPr>
          <w:p>
            <w:r>
              <w:t>توفير ورش عمل وموارد ما قبل التقديم لتوجيه المشاركين في تطوير الأفكار</w:t>
            </w:r>
          </w:p>
        </w:tc>
      </w:tr>
      <w:tr>
        <w:tc>
          <w:tcPr>
            <w:tcW w:type="dxa" w:w="0"/>
          </w:tcPr>
          <w:p>
            <w:r>
              <w:t>المشاركة المستدامة</w:t>
            </w:r>
          </w:p>
        </w:tc>
        <w:tc>
          <w:tcPr>
            <w:tcW w:type="dxa" w:w="0"/>
          </w:tcPr>
          <w:p>
            <w:r>
              <w:t>تحويل تجربة البرنامج إلى لعبة مع معالم ومكافآت وعروض تقدم منتظمة</w:t>
            </w:r>
          </w:p>
        </w:tc>
      </w:tr>
      <w:tr>
        <w:tc>
          <w:tcPr>
            <w:tcW w:type="dxa" w:w="0"/>
          </w:tcPr>
          <w:p>
            <w:r>
              <w:t>من الفكرة إلى التنفيذ</w:t>
            </w:r>
          </w:p>
        </w:tc>
        <w:tc>
          <w:tcPr>
            <w:tcW w:type="dxa" w:w="0"/>
          </w:tcPr>
          <w:p>
            <w:r>
              <w:t>إدراج موجهين من الصناعة طوال مراحل معسكر التدريب وتطوير النموذج الأولي</w:t>
            </w:r>
          </w:p>
        </w:tc>
      </w:tr>
      <w:tr>
        <w:tc>
          <w:tcPr>
            <w:tcW w:type="dxa" w:w="0"/>
          </w:tcPr>
          <w:p>
            <w:r>
              <w:t>الدعم طويل الأجل</w:t>
            </w:r>
          </w:p>
        </w:tc>
        <w:tc>
          <w:tcPr>
            <w:tcW w:type="dxa" w:w="0"/>
          </w:tcPr>
          <w:p>
            <w:r>
              <w:t>تطوير شبكة حاضنات ما بعد البرنامج لتوفير موارد واتصالات مستمرة</w:t>
            </w:r>
          </w:p>
        </w:tc>
      </w:tr>
    </w:tbl>
    <w:p>
      <w:pPr>
        <w:bidi/>
        <w:jc w:val="right"/>
      </w:pPr>
      <w:r>
        <w:t xml:space="preserve"> ١.١٠ القيمة المقترحة</w:t>
      </w:r>
    </w:p>
    <w:p>
      <w:pPr>
        <w:pStyle w:val="Heading3"/>
        <w:bidi/>
        <w:jc w:val="right"/>
      </w:pPr>
      <w:r>
        <w:t>١.١٠.١ العروض الفريدة لنهجنا</w:t>
      </w:r>
    </w:p>
    <w:p>
      <w:pPr>
        <w:pStyle w:val="ListNumber"/>
        <w:bidi/>
        <w:jc w:val="right"/>
      </w:pPr>
      <w:r>
        <w:t>نظام بيئي شامل: ينشئ نهجنا نظامًا بيئيًا كاملاً للابتكار، من توليد الأفكار إلى التنفيذ.</w:t>
      </w:r>
    </w:p>
    <w:p>
      <w:pPr>
        <w:pStyle w:val="ListNumber"/>
        <w:bidi/>
        <w:jc w:val="right"/>
      </w:pPr>
      <w:r>
        <w:t>توجيه مخصص: نقوم بمطابقة المشاركين مع الموجهين بناءً على مجالات التحدي المحددة وأنواع الحلول الخاصة بهم.</w:t>
      </w:r>
    </w:p>
    <w:p>
      <w:pPr>
        <w:pStyle w:val="ListNumber"/>
        <w:bidi/>
        <w:jc w:val="right"/>
      </w:pPr>
      <w:r>
        <w:t>صنع القرار القائم على البيانات: استخدام التحليلات المتقدمة لتتبع تقدم المشاركين وتحسين عناصر البرنامج في الوقت الفعلي.</w:t>
      </w:r>
    </w:p>
    <w:p>
      <w:pPr>
        <w:pStyle w:val="ListNumber"/>
        <w:bidi/>
        <w:jc w:val="right"/>
      </w:pPr>
      <w:r>
        <w:t>التعاون بين القطاعات: تسهيل الشراكات بين المبتكرين الشباب والجهات الحكومية والرعاة من القطاع الخاص.</w:t>
      </w:r>
    </w:p>
    <w:p>
      <w:pPr>
        <w:pStyle w:val="ListNumber"/>
        <w:bidi/>
        <w:jc w:val="right"/>
      </w:pPr>
      <w:r>
        <w:t>قياس الأثر المستدام: تنفيذ نظام تتبع الأثر طويل الأجل لقياس الآثار الواقعية للحلول المعتمدة.</w:t>
      </w:r>
    </w:p>
    <w:p>
      <w:pPr>
        <w:pStyle w:val="Heading3"/>
        <w:bidi/>
        <w:jc w:val="right"/>
      </w:pPr>
      <w:r>
        <w:t>١.١٠.٢ التوافق مع أهداف مؤسسة مسك</w:t>
      </w:r>
    </w:p>
    <w:p>
      <w:pPr>
        <w:bidi/>
        <w:jc w:val="right"/>
      </w:pPr>
      <w:r>
        <w:t>يدعم نهجنا مباشرة مهمة مؤسسة مسك من خلال:</w:t>
      </w:r>
    </w:p>
    <w:p>
      <w:pPr>
        <w:pStyle w:val="ListNumber"/>
        <w:bidi/>
        <w:jc w:val="right"/>
      </w:pPr>
      <w:r>
        <w:t>تمكين الشباب السعودي ليصبحوا مشاركين نشطين في الاقتصاد</w:t>
      </w:r>
    </w:p>
    <w:p>
      <w:pPr>
        <w:pStyle w:val="ListNumber"/>
        <w:bidi/>
        <w:jc w:val="right"/>
      </w:pPr>
      <w:r>
        <w:t>تعزيز مهارات القيادة من خلال تجارب حل المشكلات العملية</w:t>
      </w:r>
    </w:p>
    <w:p>
      <w:pPr>
        <w:pStyle w:val="ListNumber"/>
        <w:bidi/>
        <w:jc w:val="right"/>
      </w:pPr>
      <w:r>
        <w:t>تعزيز الابتكار وريادة الأعمال بما يتماشى مع رؤية ٢٠٣٠</w:t>
      </w:r>
    </w:p>
    <w:p>
      <w:pPr>
        <w:pStyle w:val="ListNumber"/>
        <w:bidi/>
        <w:jc w:val="right"/>
      </w:pPr>
      <w:r>
        <w:t>إنشاء منصة لمبادرات التأثير الاجتماعي التي يقودها الشباب</w:t>
      </w:r>
    </w:p>
    <w:p>
      <w:pPr>
        <w:pStyle w:val="ListNumber"/>
        <w:bidi/>
        <w:jc w:val="right"/>
      </w:pPr>
      <w:r>
        <w:t>تطوير مجتمع من صانعي التغيير الشباب في جميع أنحاء المملكة</w:t>
      </w:r>
    </w:p>
    <w:p>
      <w:pPr>
        <w:pStyle w:val="Heading2"/>
        <w:bidi/>
        <w:jc w:val="right"/>
      </w:pPr>
      <w:r>
        <w:t>١.١١ استراتيجية التنفيذ</w:t>
      </w:r>
    </w:p>
    <w:p>
      <w:pPr>
        <w:pStyle w:val="Heading3"/>
        <w:bidi/>
        <w:jc w:val="right"/>
      </w:pPr>
      <w:r>
        <w:t>١.١١.١ نظرة عامة على النهج المرحلي</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المرحلة</w:t>
            </w:r>
          </w:p>
        </w:tc>
        <w:tc>
          <w:tcPr>
            <w:tcW w:type="dxa" w:w="0"/>
          </w:tcPr>
          <w:p>
            <w:r>
              <w:t>المدة</w:t>
            </w:r>
          </w:p>
        </w:tc>
        <w:tc>
          <w:tcPr>
            <w:tcW w:type="dxa" w:w="0"/>
          </w:tcPr>
          <w:p>
            <w:r>
              <w:t>الأنشطة الرئيسية</w:t>
            </w:r>
          </w:p>
        </w:tc>
      </w:tr>
      <w:tr>
        <w:tc>
          <w:tcPr>
            <w:tcW w:type="dxa" w:w="0"/>
          </w:tcPr>
          <w:p>
            <w:r>
              <w:t>١. التحضير</w:t>
            </w:r>
          </w:p>
        </w:tc>
        <w:tc>
          <w:tcPr>
            <w:tcW w:type="dxa" w:w="0"/>
          </w:tcPr>
          <w:p>
            <w:r>
              <w:t>أسبوعان</w:t>
            </w:r>
          </w:p>
        </w:tc>
        <w:tc>
          <w:tcPr>
            <w:tcW w:type="dxa" w:w="0"/>
          </w:tcPr>
          <w:p>
            <w:r>
              <w:t>- وضع اللمسات الأخيرة على مجالات التحدي</w:t>
              <w:br/>
              <w:t>- إعداد البنية التحتية التقنية</w:t>
              <w:br/>
              <w:t>- إطلاق حملة التسويق</w:t>
            </w:r>
          </w:p>
        </w:tc>
      </w:tr>
      <w:tr>
        <w:tc>
          <w:tcPr>
            <w:tcW w:type="dxa" w:w="0"/>
          </w:tcPr>
          <w:p>
            <w:r>
              <w:t>٢. تقديم الأفكار</w:t>
            </w:r>
          </w:p>
        </w:tc>
        <w:tc>
          <w:tcPr>
            <w:tcW w:type="dxa" w:w="0"/>
          </w:tcPr>
          <w:p>
            <w:r>
              <w:t>٤ أسابيع</w:t>
            </w:r>
          </w:p>
        </w:tc>
        <w:tc>
          <w:tcPr>
            <w:tcW w:type="dxa" w:w="0"/>
          </w:tcPr>
          <w:p>
            <w:r>
              <w:t>- فتح منصة التقديم</w:t>
              <w:br/>
              <w:t>- إجراء فعاليات التوعية</w:t>
              <w:br/>
              <w:t>- تقديم الدعم للتقديم</w:t>
            </w:r>
          </w:p>
        </w:tc>
      </w:tr>
      <w:tr>
        <w:tc>
          <w:tcPr>
            <w:tcW w:type="dxa" w:w="0"/>
          </w:tcPr>
          <w:p>
            <w:r>
              <w:t>٣. الاختيار</w:t>
            </w:r>
          </w:p>
        </w:tc>
        <w:tc>
          <w:tcPr>
            <w:tcW w:type="dxa" w:w="0"/>
          </w:tcPr>
          <w:p>
            <w:r>
              <w:t>أسبوعان</w:t>
            </w:r>
          </w:p>
        </w:tc>
        <w:tc>
          <w:tcPr>
            <w:tcW w:type="dxa" w:w="0"/>
          </w:tcPr>
          <w:p>
            <w:r>
              <w:t>- تقييم التقديمات</w:t>
              <w:br/>
              <w:t>- اختيار أفضل ٧٠ فكرة</w:t>
            </w:r>
          </w:p>
        </w:tc>
      </w:tr>
      <w:tr>
        <w:tc>
          <w:tcPr>
            <w:tcW w:type="dxa" w:w="0"/>
          </w:tcPr>
          <w:p>
            <w:r>
              <w:t>٤. معسكر التدريب الافتراضي</w:t>
            </w:r>
          </w:p>
        </w:tc>
        <w:tc>
          <w:tcPr>
            <w:tcW w:type="dxa" w:w="0"/>
          </w:tcPr>
          <w:p>
            <w:r>
              <w:t>أسبوعان</w:t>
            </w:r>
          </w:p>
        </w:tc>
        <w:tc>
          <w:tcPr>
            <w:tcW w:type="dxa" w:w="0"/>
          </w:tcPr>
          <w:p>
            <w:r>
              <w:t>- إجراء جلسات تدريب عبر الإنترنت</w:t>
              <w:br/>
              <w:t>- تسهيل اجتماعات التوجيه</w:t>
              <w:br/>
              <w:t>- تنقيح الأفكار</w:t>
            </w:r>
          </w:p>
        </w:tc>
      </w:tr>
      <w:tr>
        <w:tc>
          <w:tcPr>
            <w:tcW w:type="dxa" w:w="0"/>
          </w:tcPr>
          <w:p>
            <w:r>
              <w:t>٥. معسكر التدريب الفعلي</w:t>
            </w:r>
          </w:p>
        </w:tc>
        <w:tc>
          <w:tcPr>
            <w:tcW w:type="dxa" w:w="0"/>
          </w:tcPr>
          <w:p>
            <w:r>
              <w:t>أسبوع واحد</w:t>
            </w:r>
          </w:p>
        </w:tc>
        <w:tc>
          <w:tcPr>
            <w:tcW w:type="dxa" w:w="0"/>
          </w:tcPr>
          <w:p>
            <w:r>
              <w:t>- ورش عمل مكثفة وجهًا لوجه</w:t>
              <w:br/>
              <w:t>- جلسات ممارسة العرض</w:t>
              <w:br/>
              <w:t>- اختيار أفضل ٣٥ فريقًا</w:t>
            </w:r>
          </w:p>
        </w:tc>
      </w:tr>
      <w:tr>
        <w:tc>
          <w:tcPr>
            <w:tcW w:type="dxa" w:w="0"/>
          </w:tcPr>
          <w:p>
            <w:r>
              <w:t>٦. تطوير النموذج الأولي</w:t>
            </w:r>
          </w:p>
        </w:tc>
        <w:tc>
          <w:tcPr>
            <w:tcW w:type="dxa" w:w="0"/>
          </w:tcPr>
          <w:p>
            <w:r>
              <w:t>٦ أسابيع</w:t>
            </w:r>
          </w:p>
        </w:tc>
        <w:tc>
          <w:tcPr>
            <w:tcW w:type="dxa" w:w="0"/>
          </w:tcPr>
          <w:p>
            <w:r>
              <w:t>- تقديم الدعم التقني</w:t>
              <w:br/>
              <w:t>- إجراء فحوصات التقدم</w:t>
              <w:br/>
              <w:t>- التحضير للعروض النهائية</w:t>
            </w:r>
          </w:p>
        </w:tc>
      </w:tr>
      <w:tr>
        <w:tc>
          <w:tcPr>
            <w:tcW w:type="dxa" w:w="0"/>
          </w:tcPr>
          <w:p>
            <w:r>
              <w:t>٧. العرض والتبني</w:t>
            </w:r>
          </w:p>
        </w:tc>
        <w:tc>
          <w:tcPr>
            <w:tcW w:type="dxa" w:w="0"/>
          </w:tcPr>
          <w:p>
            <w:r>
              <w:t>أسبوعان</w:t>
            </w:r>
          </w:p>
        </w:tc>
        <w:tc>
          <w:tcPr>
            <w:tcW w:type="dxa" w:w="0"/>
          </w:tcPr>
          <w:p>
            <w:r>
              <w:t>- تنظيم حدث العرض</w:t>
              <w:br/>
              <w:t>- تسهيل اجتماعات المتبنين</w:t>
              <w:br/>
              <w:t>- إعلان الفائزين</w:t>
            </w:r>
          </w:p>
        </w:tc>
      </w:tr>
      <w:tr>
        <w:tc>
          <w:tcPr>
            <w:tcW w:type="dxa" w:w="0"/>
          </w:tcPr>
          <w:p>
            <w:r>
              <w:t>٨. الختام والتقييم</w:t>
            </w:r>
          </w:p>
        </w:tc>
        <w:tc>
          <w:tcPr>
            <w:tcW w:type="dxa" w:w="0"/>
          </w:tcPr>
          <w:p>
            <w:r>
              <w:t>أسبوعان</w:t>
            </w:r>
          </w:p>
        </w:tc>
        <w:tc>
          <w:tcPr>
            <w:tcW w:type="dxa" w:w="0"/>
          </w:tcPr>
          <w:p>
            <w:r>
              <w:t>- جمع التعليقات</w:t>
              <w:br/>
              <w:t>- تحليل تأثير البرنامج</w:t>
              <w:br/>
              <w:t>- إعداد التقرير النهائي</w:t>
            </w:r>
          </w:p>
        </w:tc>
      </w:tr>
    </w:tbl>
    <w:p>
      <w:pPr>
        <w:bidi/>
        <w:jc w:val="right"/>
      </w:pPr>
      <w:r>
        <w:t xml:space="preserve"> ١.١١.٢ تدابير ضمان الجودة</w:t>
      </w:r>
    </w:p>
    <w:p>
      <w:pPr>
        <w:pStyle w:val="ListNumber"/>
        <w:bidi/>
        <w:jc w:val="right"/>
      </w:pPr>
      <w:r>
        <w:t>مراجعات التقدم المنتظمة مع مؤسسة مسك</w:t>
      </w:r>
    </w:p>
    <w:p>
      <w:pPr>
        <w:pStyle w:val="ListNumber"/>
        <w:bidi/>
        <w:jc w:val="right"/>
      </w:pPr>
      <w:r>
        <w:t>استطلاعات تعليقات المشاركين بعد كل مرحلة رئيسية من البرنامج</w:t>
      </w:r>
    </w:p>
    <w:p>
      <w:pPr>
        <w:pStyle w:val="ListNumber"/>
        <w:bidi/>
        <w:jc w:val="right"/>
      </w:pPr>
      <w:r>
        <w:t>لجنة خبراء خارجية لتقييم جودة الحل وقابليته للتطبيق</w:t>
      </w:r>
    </w:p>
    <w:p>
      <w:pPr>
        <w:pStyle w:val="ListNumber"/>
        <w:bidi/>
        <w:jc w:val="right"/>
      </w:pPr>
      <w:r>
        <w:t>عملية تحسين مستمر بناءً على تحليلات البيانات في الوقت الفعلي</w:t>
      </w:r>
    </w:p>
    <w:p>
      <w:pPr>
        <w:pStyle w:val="ListNumber"/>
        <w:bidi/>
        <w:jc w:val="right"/>
      </w:pPr>
      <w:r>
        <w:t>الالتزام بأفضل الممارسات الدولية في إدارة برامج الابتكار</w:t>
      </w:r>
    </w:p>
    <w:p>
      <w:pPr>
        <w:pStyle w:val="Heading3"/>
        <w:bidi/>
        <w:jc w:val="right"/>
      </w:pPr>
      <w:r>
        <w:t>١.١١.٣ خطة إدارة المخاطر</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الخطر</w:t>
            </w:r>
          </w:p>
        </w:tc>
        <w:tc>
          <w:tcPr>
            <w:tcW w:type="dxa" w:w="0"/>
          </w:tcPr>
          <w:p>
            <w:r>
              <w:t>استراتيجية التخفيف</w:t>
            </w:r>
          </w:p>
        </w:tc>
      </w:tr>
      <w:tr>
        <w:tc>
          <w:tcPr>
            <w:tcW w:type="dxa" w:w="0"/>
          </w:tcPr>
          <w:p>
            <w:r>
              <w:t>انخفاض معدلات المشاركة</w:t>
            </w:r>
          </w:p>
        </w:tc>
        <w:tc>
          <w:tcPr>
            <w:tcW w:type="dxa" w:w="0"/>
          </w:tcPr>
          <w:p>
            <w:r>
              <w:t>تعزيز جهود التسويق وتقديم حوافز للتسجيل المبكر</w:t>
            </w:r>
          </w:p>
        </w:tc>
      </w:tr>
      <w:tr>
        <w:tc>
          <w:tcPr>
            <w:tcW w:type="dxa" w:w="0"/>
          </w:tcPr>
          <w:p>
            <w:r>
              <w:t>مشاكل المنصة التقنية</w:t>
            </w:r>
          </w:p>
        </w:tc>
        <w:tc>
          <w:tcPr>
            <w:tcW w:type="dxa" w:w="0"/>
          </w:tcPr>
          <w:p>
            <w:r>
              <w:t>إجراء اختبار شامل ووجود نظام احتياطي</w:t>
            </w:r>
          </w:p>
        </w:tc>
      </w:tr>
      <w:tr>
        <w:tc>
          <w:tcPr>
            <w:tcW w:type="dxa" w:w="0"/>
          </w:tcPr>
          <w:p>
            <w:r>
              <w:t>عدم توفر الموجهين</w:t>
            </w:r>
          </w:p>
        </w:tc>
        <w:tc>
          <w:tcPr>
            <w:tcW w:type="dxa" w:w="0"/>
          </w:tcPr>
          <w:p>
            <w:r>
              <w:t>الحفاظ على مجموعة من الموجهين الاحتياطيين وتقديم جدولة مرنة</w:t>
            </w:r>
          </w:p>
        </w:tc>
      </w:tr>
      <w:tr>
        <w:tc>
          <w:tcPr>
            <w:tcW w:type="dxa" w:w="0"/>
          </w:tcPr>
          <w:p>
            <w:r>
              <w:t>الانسحاب أثناء معسكر التدريب</w:t>
            </w:r>
          </w:p>
        </w:tc>
        <w:tc>
          <w:tcPr>
            <w:tcW w:type="dxa" w:w="0"/>
          </w:tcPr>
          <w:p>
            <w:r>
              <w:t>تنفيذ نظام الزملاء وتقديم دعم إضافي للفرق المتعثرة</w:t>
            </w:r>
          </w:p>
        </w:tc>
      </w:tr>
      <w:tr>
        <w:tc>
          <w:tcPr>
            <w:tcW w:type="dxa" w:w="0"/>
          </w:tcPr>
          <w:p>
            <w:r>
              <w:t>نقص اهتمام المتبنين</w:t>
            </w:r>
          </w:p>
        </w:tc>
        <w:tc>
          <w:tcPr>
            <w:tcW w:type="dxa" w:w="0"/>
          </w:tcPr>
          <w:p>
            <w:r>
              <w:t>إشراك المتبنين المحتملين مسبقًا ومواءمة التحديات مع اهتماماتهم</w:t>
            </w:r>
          </w:p>
        </w:tc>
      </w:tr>
    </w:tbl>
    <w:p>
      <w:pPr>
        <w:bidi/>
        <w:jc w:val="right"/>
      </w:pPr>
      <w:r>
        <w:t xml:space="preserve"> ١.١٢ الاستدامة والنمو المستقبلي</w:t>
      </w:r>
    </w:p>
    <w:p>
      <w:pPr>
        <w:pStyle w:val="Heading3"/>
        <w:bidi/>
        <w:jc w:val="right"/>
      </w:pPr>
      <w:r>
        <w:t>١.١٢.١ الرؤية طويلة الأجل للبرنامج</w:t>
      </w:r>
    </w:p>
    <w:p>
      <w:pPr>
        <w:pStyle w:val="ListNumber"/>
        <w:bidi/>
        <w:jc w:val="right"/>
      </w:pPr>
      <w:r>
        <w:t>إنشاء ديوان الابتكار كمنصة الابتكار الرائدة للشباب في المملكة العربية السعودية</w:t>
      </w:r>
    </w:p>
    <w:p>
      <w:pPr>
        <w:pStyle w:val="ListNumber"/>
        <w:bidi/>
        <w:jc w:val="right"/>
      </w:pPr>
      <w:r>
        <w:t>إنشاء نظام بيئي مستدام ذاتيًا من المبتكرين الشباب والموجهين والمتبنين</w:t>
      </w:r>
    </w:p>
    <w:p>
      <w:pPr>
        <w:pStyle w:val="ListNumber"/>
        <w:bidi/>
        <w:jc w:val="right"/>
      </w:pPr>
      <w:r>
        <w:t>تطوير سجل حافل بالحلول المنفذة ذات التأثير المجتمعي القابل للقياس</w:t>
      </w:r>
    </w:p>
    <w:p>
      <w:pPr>
        <w:pStyle w:val="ListNumber"/>
        <w:bidi/>
        <w:jc w:val="right"/>
      </w:pPr>
      <w:r>
        <w:t>وضع البرنامج كنموذج لمشاركة الشباب في التنمية الوطنية</w:t>
      </w:r>
    </w:p>
    <w:p>
      <w:pPr>
        <w:pStyle w:val="Heading3"/>
        <w:bidi/>
        <w:jc w:val="right"/>
      </w:pPr>
      <w:r>
        <w:t>١.١٢.٢ إمكانية التوسع والتكرار</w:t>
      </w:r>
    </w:p>
    <w:p>
      <w:pPr>
        <w:pStyle w:val="ListNumber"/>
        <w:bidi/>
        <w:jc w:val="right"/>
      </w:pPr>
      <w:r>
        <w:t>تطوير مجموعة أدوات برنامج موحدة لسهولة التكرار في مناطق أو دول أخرى</w:t>
      </w:r>
    </w:p>
    <w:p>
      <w:pPr>
        <w:pStyle w:val="ListNumber"/>
        <w:bidi/>
        <w:jc w:val="right"/>
      </w:pPr>
      <w:r>
        <w:t>إنشاء قاعدة معرفية رقمية لأفضل الممارسات والدروس المستفادة</w:t>
      </w:r>
    </w:p>
    <w:p>
      <w:pPr>
        <w:pStyle w:val="ListNumber"/>
        <w:bidi/>
        <w:jc w:val="right"/>
      </w:pPr>
      <w:r>
        <w:t>تدريب كادر من الميسرين المحليين لتوسيع نطاق البرنامج</w:t>
      </w:r>
    </w:p>
    <w:p>
      <w:pPr>
        <w:pStyle w:val="ListNumber"/>
        <w:bidi/>
        <w:jc w:val="right"/>
      </w:pPr>
      <w:r>
        <w:t>استكشاف الشراكات مع برامج الابتكار الدولية لتبادل المعرفة</w:t>
      </w:r>
    </w:p>
    <w:p>
      <w:pPr>
        <w:pStyle w:val="ListNumber"/>
        <w:bidi/>
        <w:jc w:val="right"/>
      </w:pPr>
      <w:r>
        <w:t>التحقيق في إمكانية إنشاء مركز ابتكار على مدار العام بناءً على نموذج البرنامج</w:t>
      </w:r>
    </w:p>
    <w:p>
      <w:pPr>
        <w:pStyle w:val="Heading2"/>
        <w:bidi/>
        <w:jc w:val="right"/>
      </w:pPr>
      <w:r>
        <w:t>١.١٣ الخاتمة</w:t>
      </w:r>
    </w:p>
    <w:p>
      <w:pPr>
        <w:pStyle w:val="Heading3"/>
        <w:bidi/>
        <w:jc w:val="right"/>
      </w:pPr>
      <w:r>
        <w:t>١.١٣.١ ملخص فهمنا</w:t>
      </w:r>
    </w:p>
    <w:p>
      <w:pPr>
        <w:bidi/>
        <w:jc w:val="right"/>
      </w:pPr>
      <w:r>
        <w:t>يمثل برنامج ديوان الابتكار مبادرة حاسمة تتماشى مع رؤية السعودية ٢٠٣٠، وتهدف إلى تسخير الإمكانات الإبداعية للشباب السعودي لمعالجة التحديات المجتمعية الملحة. يضمن نهجنا الشامل تجربة عالية الجودة وجذابة للمشاركين مع تقديم نتائج ملموسة في شكل حلول قابلة للتنفيذ.</w:t>
      </w:r>
    </w:p>
    <w:p>
      <w:pPr>
        <w:pStyle w:val="Heading3"/>
        <w:bidi/>
        <w:jc w:val="right"/>
      </w:pPr>
      <w:r>
        <w:t>١.١٣.٢ الالتزام بنجاح المشروع</w:t>
      </w:r>
    </w:p>
    <w:p>
      <w:pPr>
        <w:bidi/>
        <w:jc w:val="right"/>
      </w:pPr>
      <w:r>
        <w:t>نحن ملتزمون تمامًا بنجاح برنامج ديوان الابتكار. من خلال الاستفادة من خبرتنا في إشراك الشباب وتسهيل الابتكار وتنمية المجتمع، سنعمل بلا كلل لتجاوز أهداف المشروع وخلق تأثير دائم للمجتمعات والشباب السعودي.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