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400" w:before="0"/>
        <w:jc w:val="center"/>
      </w:pPr>
      <w:r>
        <w:rPr>
          <w:b/>
          <w:bCs/>
          <w:color w:val="1F3864"/>
          <w:sz w:val="36"/>
          <w:szCs w:val="36"/>
        </w:rPr>
        <w:t xml:space="preserve">WooCommerce Entegrasyon Kuralları</w:t>
      </w:r>
    </w:p>
    <w:p>
      <w:pPr>
        <w:pStyle w:val="Heading1"/>
        <w:spacing w:after="200" w:before="400"/>
      </w:pPr>
      <w:r>
        <w:t xml:space="preserve">WooCommerce Entegrasyon Kuralları</w:t>
      </w:r>
    </w:p>
    <w:p>
      <w:pPr>
        <w:spacing w:after="100" w:before="100"/>
      </w:pPr>
      <w:r>
        <w:rPr>
          <w:sz w:val="24"/>
          <w:szCs w:val="24"/>
        </w:rPr>
        <w:t xml:space="preserve">WooCommerce REST API tamamen desteklenecektir.</w:t>
      </w:r>
    </w:p>
    <w:p>
      <w:pPr>
        <w:pStyle w:val="Heading2"/>
        <w:spacing w:after="150" w:before="300"/>
      </w:pPr>
      <w:r>
        <w:t xml:space="preserve">Yönetilebilir Alanlar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Ürünler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Kategoriler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Markalar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Stok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Sipariş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Müşteri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Kupon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Kargo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Vergiler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Ödeme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Varyantlar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Özellikler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Medya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Webhook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Batch işlemleri</w:t>
      </w:r>
    </w:p>
    <w:p>
      <w:pPr>
        <w:pStyle w:val="Heading2"/>
        <w:spacing w:after="150" w:before="300"/>
      </w:pPr>
      <w:r>
        <w:t xml:space="preserve">Portal Üzerinden Yönetim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WooCommerce API Key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Consumer Key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Consumer Secret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Store URL</w:t>
      </w:r>
    </w:p>
    <w:p>
      <w:pPr>
        <w:spacing w:after="100" w:before="100"/>
      </w:pPr>
      <w:r>
        <w:rPr>
          <w:sz w:val="24"/>
          <w:szCs w:val="24"/>
        </w:rPr>
        <w:t xml:space="preserve">Yukarıdaki tüm ayarlar portal üzerinden yönetilecektir.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2026-07-22T12:44:37.991Z</dcterms:created>
  <dcterms:modified xsi:type="dcterms:W3CDTF">2026-07-22T12:44:37.991Z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