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Veritabanı Tasarım Kuralları</w:t>
      </w:r>
    </w:p>
    <w:p>
      <w:pPr>
        <w:pStyle w:val="Heading1"/>
        <w:spacing w:after="200" w:before="400"/>
      </w:pPr>
      <w:r>
        <w:t xml:space="preserve">Veritabanı Tasarım Kuralları</w:t>
      </w:r>
    </w:p>
    <w:p>
      <w:pPr>
        <w:spacing w:after="100" w:before="100"/>
      </w:pPr>
      <w:r>
        <w:rPr>
          <w:sz w:val="24"/>
          <w:szCs w:val="24"/>
        </w:rPr>
        <w:t xml:space="preserve">Veritabanı aşağıdaki kurallara göre tasarlanacaktır: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Veritabanı tamamen normalize olacaktır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Foreign Key kullanılacaktır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Indexler doğru oluşturulacaktır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Soft Delete uygulanacaktır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Audit tabloları bulunacaktır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Migration kullanılacaktır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2026-07-22T12:44:38.198Z</dcterms:created>
  <dcterms:modified xsi:type="dcterms:W3CDTF">2026-07-22T12:44:38.198Z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