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5D6BD47B" w:rsidR="00CD1A9F" w:rsidRPr="00CD1A9F" w:rsidRDefault="00CD1A9F" w:rsidP="003C41F9">
      <w:pPr>
        <w:jc w:val="both"/>
        <w:rPr>
          <w:rFonts w:cstheme="minorHAnsi"/>
          <w:sz w:val="24"/>
          <w:szCs w:val="24"/>
        </w:rPr>
      </w:pPr>
      <w:r w:rsidRPr="00CD1A9F">
        <w:rPr>
          <w:rFonts w:cstheme="minorHAnsi"/>
          <w:sz w:val="24"/>
          <w:szCs w:val="24"/>
        </w:rPr>
        <w:t>The purpose of the intended mechanism of this research is to find a way that visualizes and analyzes social media content to provide useful insights about public reaction and interaction with Covid-19. It allows decision-makers to have an overview of the social situation to react to and manage any public disruption that might be the result of any planned measure they applied or due to some public disturbance. Moreover, it is the link that can fill a little bit of the gap between the government and the people.</w:t>
      </w:r>
    </w:p>
    <w:p w14:paraId="18BC0C87" w14:textId="59D8464E" w:rsidR="00CD1A9F" w:rsidRDefault="00CD1A9F" w:rsidP="003C41F9">
      <w:pPr>
        <w:jc w:val="both"/>
        <w:rPr>
          <w:rFonts w:cstheme="minorHAnsi"/>
          <w:sz w:val="24"/>
          <w:szCs w:val="24"/>
        </w:rPr>
      </w:pPr>
      <w:r w:rsidRPr="00CD1A9F">
        <w:rPr>
          <w:rFonts w:cstheme="minorHAnsi"/>
          <w:sz w:val="24"/>
          <w:szCs w:val="24"/>
        </w:rPr>
        <w:t>This research proposes many solutions to reach the intended mechanism where it has to gather social media posts, discover their origins, handle many different text forms and formats, and get the geographical distribution overview of public reactions and interactions.</w:t>
      </w:r>
    </w:p>
    <w:p w14:paraId="590E1519" w14:textId="77777777" w:rsidR="00746022" w:rsidRPr="00CD1A9F" w:rsidRDefault="00746022" w:rsidP="003C41F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16958EC" w:rsidR="00CD1A9F" w:rsidRDefault="00CD1A9F" w:rsidP="003C41F9">
      <w:pPr>
        <w:jc w:val="both"/>
        <w:rPr>
          <w:rFonts w:cstheme="minorHAnsi"/>
          <w:sz w:val="24"/>
          <w:szCs w:val="24"/>
        </w:rPr>
      </w:pPr>
      <w:r w:rsidRPr="00CD1A9F">
        <w:rPr>
          <w:rFonts w:cstheme="minorHAnsi"/>
          <w:sz w:val="24"/>
          <w:szCs w:val="24"/>
        </w:rPr>
        <w:t>The data source used for this research is the Twitter Social Media Platform as it provides the most direct public and social content without the need to follow or join communities like in other platforms. Keywords related to Covid-19 and its pandemic were searched to get the sample tweets for this research.</w:t>
      </w:r>
    </w:p>
    <w:p w14:paraId="2199E03C" w14:textId="7AB48176" w:rsidR="00B244B0" w:rsidRDefault="00B244B0" w:rsidP="003C41F9">
      <w:pPr>
        <w:jc w:val="both"/>
        <w:rPr>
          <w:rFonts w:cstheme="minorHAnsi"/>
          <w:sz w:val="24"/>
          <w:szCs w:val="24"/>
        </w:rPr>
      </w:pPr>
      <w:r w:rsidRPr="00B244B0">
        <w:rPr>
          <w:rFonts w:cstheme="minorHAnsi"/>
          <w:b/>
          <w:bCs/>
          <w:sz w:val="24"/>
          <w:szCs w:val="24"/>
        </w:rPr>
        <w:t>Keywords</w:t>
      </w:r>
      <w:r>
        <w:rPr>
          <w:rFonts w:cstheme="minorHAnsi"/>
          <w:sz w:val="24"/>
          <w:szCs w:val="24"/>
        </w:rPr>
        <w:t xml:space="preserve">: </w:t>
      </w:r>
      <w:proofErr w:type="spellStart"/>
      <w:r w:rsidRPr="00CD1A9F">
        <w:rPr>
          <w:rFonts w:cstheme="minorHAnsi"/>
          <w:sz w:val="24"/>
          <w:szCs w:val="24"/>
        </w:rPr>
        <w:t>Covid</w:t>
      </w:r>
      <w:proofErr w:type="spellEnd"/>
      <w:r w:rsidRPr="00CD1A9F">
        <w:rPr>
          <w:rFonts w:cstheme="minorHAnsi"/>
          <w:sz w:val="24"/>
          <w:szCs w:val="24"/>
        </w:rPr>
        <w:t xml:space="preserve">, Corona, Healthcare, Medical, and </w:t>
      </w:r>
      <w:r w:rsidRPr="00CD1A9F">
        <w:rPr>
          <w:rFonts w:cstheme="minorHAnsi"/>
          <w:sz w:val="24"/>
          <w:szCs w:val="24"/>
          <w:rtl/>
        </w:rPr>
        <w:t>كورونا</w:t>
      </w:r>
    </w:p>
    <w:p w14:paraId="79D7760A" w14:textId="77777777" w:rsidR="00746022" w:rsidRPr="00CD1A9F" w:rsidRDefault="00746022" w:rsidP="003C41F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62C44B00" w14:textId="32758140" w:rsidR="00746022" w:rsidRPr="00CD1A9F" w:rsidRDefault="00CD1A9F" w:rsidP="00746022">
      <w:pPr>
        <w:jc w:val="both"/>
        <w:rPr>
          <w:rFonts w:cstheme="minorHAnsi"/>
          <w:sz w:val="24"/>
          <w:szCs w:val="24"/>
        </w:rPr>
      </w:pPr>
      <w:r w:rsidRPr="00CD1A9F">
        <w:rPr>
          <w:rFonts w:cstheme="minorHAnsi"/>
          <w:sz w:val="24"/>
          <w:szCs w:val="24"/>
        </w:rPr>
        <w:t xml:space="preserve">Getting the locations of tweets was one of the main problems that this research wanted to solve, and by default, Twitter has its own mechanism for locating tweets as they provide two public ways to do that[??]. </w:t>
      </w: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5407A30C" w14:textId="77777777" w:rsidR="00CD1A9F" w:rsidRPr="00CD1A9F" w:rsidRDefault="00CD1A9F" w:rsidP="00746022">
      <w:pPr>
        <w:jc w:val="both"/>
        <w:rPr>
          <w:rFonts w:cstheme="minorHAnsi"/>
          <w:sz w:val="24"/>
          <w:szCs w:val="24"/>
        </w:rPr>
      </w:pPr>
      <w:r w:rsidRPr="00CD1A9F">
        <w:rPr>
          <w:rFonts w:cstheme="minorHAnsi"/>
          <w:sz w:val="24"/>
          <w:szCs w:val="24"/>
        </w:rPr>
        <w:t>This option, which is disabled by default, allows Twitter to know the user location and from where did he sent his tweet. That will allow other people to search for these geo-tweets if they enter `&lt;keyword&gt; geocode:&lt;latitude</w:t>
      </w:r>
      <w:proofErr w:type="gramStart"/>
      <w:r w:rsidRPr="00CD1A9F">
        <w:rPr>
          <w:rFonts w:cstheme="minorHAnsi"/>
          <w:sz w:val="24"/>
          <w:szCs w:val="24"/>
        </w:rPr>
        <w:t>&gt;,&lt;</w:t>
      </w:r>
      <w:proofErr w:type="gramEnd"/>
      <w:r w:rsidRPr="00CD1A9F">
        <w:rPr>
          <w:rFonts w:cstheme="minorHAnsi"/>
          <w:sz w:val="24"/>
          <w:szCs w:val="24"/>
        </w:rPr>
        <w:t>longitude&gt;,&lt;radius&gt;km` and provide a geo-location near this user.</w:t>
      </w:r>
    </w:p>
    <w:p w14:paraId="54DF9087" w14:textId="1F7E2AC0" w:rsidR="00CD1A9F" w:rsidRDefault="00CD1A9F" w:rsidP="00746022">
      <w:pPr>
        <w:jc w:val="both"/>
        <w:rPr>
          <w:rFonts w:cstheme="minorHAnsi"/>
          <w:sz w:val="24"/>
          <w:szCs w:val="24"/>
        </w:rPr>
      </w:pPr>
      <w:r w:rsidRPr="00CD1A9F">
        <w:rPr>
          <w:rFonts w:cstheme="minorHAnsi"/>
          <w:sz w:val="24"/>
          <w:szCs w:val="24"/>
        </w:rPr>
        <w:t>&lt;Insert Image Here&gt;</w:t>
      </w:r>
    </w:p>
    <w:p w14:paraId="463AC2DE" w14:textId="77777777" w:rsidR="00746022" w:rsidRPr="00CD1A9F" w:rsidRDefault="00746022" w:rsidP="00746022">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02366A6E" w14:textId="77777777" w:rsidR="00CD1A9F" w:rsidRPr="00CD1A9F" w:rsidRDefault="00CD1A9F" w:rsidP="00746022">
      <w:pPr>
        <w:jc w:val="both"/>
        <w:rPr>
          <w:rFonts w:cstheme="minorHAnsi"/>
          <w:sz w:val="24"/>
          <w:szCs w:val="24"/>
        </w:rPr>
      </w:pPr>
      <w:r w:rsidRPr="00CD1A9F">
        <w:rPr>
          <w:rFonts w:cstheme="minorHAnsi"/>
          <w:sz w:val="24"/>
          <w:szCs w:val="24"/>
        </w:rPr>
        <w:t>Another way is the public user-provided profile location in the Twitter user profile page that any user can customize as he wants. Twitter then tries to link this provided location to an actual real-world location and includes these tweets in the results for the geocode twitter search like in method A.</w:t>
      </w:r>
    </w:p>
    <w:p w14:paraId="484B2BC2" w14:textId="5752A48D" w:rsidR="00CD1A9F" w:rsidRDefault="00CD1A9F" w:rsidP="00746022">
      <w:pPr>
        <w:jc w:val="both"/>
        <w:rPr>
          <w:rFonts w:cstheme="minorHAnsi"/>
          <w:sz w:val="24"/>
          <w:szCs w:val="24"/>
        </w:rPr>
      </w:pPr>
      <w:r w:rsidRPr="00CD1A9F">
        <w:rPr>
          <w:rFonts w:cstheme="minorHAnsi"/>
          <w:sz w:val="24"/>
          <w:szCs w:val="24"/>
        </w:rPr>
        <w:t>&lt;Insert Image Here&gt;</w:t>
      </w:r>
    </w:p>
    <w:p w14:paraId="187F9043" w14:textId="77777777" w:rsidR="00746022" w:rsidRPr="00CD1A9F" w:rsidRDefault="00746022" w:rsidP="00746022">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0A83E411" w14:textId="77777777" w:rsidR="00CD1A9F" w:rsidRPr="00CD1A9F" w:rsidRDefault="00CD1A9F" w:rsidP="00746022">
      <w:pPr>
        <w:jc w:val="both"/>
        <w:rPr>
          <w:rFonts w:cstheme="minorHAnsi"/>
          <w:sz w:val="24"/>
          <w:szCs w:val="24"/>
        </w:rPr>
      </w:pPr>
      <w:r w:rsidRPr="00CD1A9F">
        <w:rPr>
          <w:rFonts w:cstheme="minorHAnsi"/>
          <w:sz w:val="24"/>
          <w:szCs w:val="24"/>
        </w:rPr>
        <w:t>The problem with method A is that it only shows the geo-tweets of people who enabled twitter location access from their account settings that is OFF by default. Users usually don't know about the location option and ignore it even if they knew, while many others don't provide a specific location on their profile with method B. These limitations lead to fewer geo-tweets resulting from the geo-search, as our benchmark shows that searching for tweets with the same search parameters gives us ??x times the tweets than when we searched for geo-tweets.</w:t>
      </w:r>
    </w:p>
    <w:p w14:paraId="6E031553" w14:textId="70CE286A" w:rsidR="00CD1A9F" w:rsidRDefault="00CD1A9F" w:rsidP="00746022">
      <w:pPr>
        <w:jc w:val="both"/>
        <w:rPr>
          <w:rFonts w:cstheme="minorHAnsi"/>
          <w:sz w:val="24"/>
          <w:szCs w:val="24"/>
        </w:rPr>
      </w:pPr>
      <w:r w:rsidRPr="00CD1A9F">
        <w:rPr>
          <w:rFonts w:cstheme="minorHAnsi"/>
          <w:sz w:val="24"/>
          <w:szCs w:val="24"/>
        </w:rPr>
        <w:t>&lt;Insert Benchmark Table Here&gt;</w:t>
      </w:r>
    </w:p>
    <w:p w14:paraId="2FF14EB0" w14:textId="77777777" w:rsidR="00746022" w:rsidRPr="00CD1A9F" w:rsidRDefault="00746022" w:rsidP="00746022">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0794DF02" w14:textId="77777777" w:rsidR="00CD1A9F" w:rsidRPr="00CD1A9F" w:rsidRDefault="00CD1A9F" w:rsidP="00746022">
      <w:pPr>
        <w:jc w:val="both"/>
        <w:rPr>
          <w:rFonts w:cstheme="minorHAnsi"/>
          <w:sz w:val="24"/>
          <w:szCs w:val="24"/>
        </w:rPr>
      </w:pPr>
      <w:r w:rsidRPr="00CD1A9F">
        <w:rPr>
          <w:rFonts w:cstheme="minorHAnsi"/>
          <w:sz w:val="24"/>
          <w:szCs w:val="24"/>
        </w:rPr>
        <w:t>We propose the use of each user's tweets as a data bank as they reflect the user's interests and concerns. We can then extract any location reference in these tweets and consider the most frequent location this user in mentioning as a place of great importance to him and so represents his address. This method requires two things: a list of known locations details and a way to extract these location references.</w:t>
      </w: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2D6598CD" w14:textId="4804C8D2" w:rsidR="00CD1A9F" w:rsidRPr="00CD1A9F" w:rsidRDefault="00CD1A9F" w:rsidP="00746022">
      <w:pPr>
        <w:jc w:val="both"/>
        <w:rPr>
          <w:rFonts w:cstheme="minorHAnsi"/>
          <w:sz w:val="24"/>
          <w:szCs w:val="24"/>
        </w:rPr>
      </w:pPr>
      <w:r w:rsidRPr="00CD1A9F">
        <w:rPr>
          <w:rFonts w:cstheme="minorHAnsi"/>
          <w:sz w:val="24"/>
          <w:szCs w:val="24"/>
        </w:rPr>
        <w:t xml:space="preserve">We managed to get a list of 3000+ locations in Lebanon with their name (Latin and non-Latin), latitude, longitude, </w:t>
      </w:r>
      <w:proofErr w:type="spellStart"/>
      <w:r w:rsidRPr="00CD1A9F">
        <w:rPr>
          <w:rFonts w:cstheme="minorHAnsi"/>
          <w:sz w:val="24"/>
          <w:szCs w:val="24"/>
        </w:rPr>
        <w:t>mohafaza</w:t>
      </w:r>
      <w:proofErr w:type="spellEnd"/>
      <w:r w:rsidRPr="00CD1A9F">
        <w:rPr>
          <w:rFonts w:cstheme="minorHAnsi"/>
          <w:sz w:val="24"/>
          <w:szCs w:val="24"/>
        </w:rPr>
        <w:t xml:space="preserve">, and </w:t>
      </w:r>
      <w:proofErr w:type="spellStart"/>
      <w:r w:rsidRPr="00CD1A9F">
        <w:rPr>
          <w:rFonts w:cstheme="minorHAnsi"/>
          <w:sz w:val="24"/>
          <w:szCs w:val="24"/>
        </w:rPr>
        <w:t>kadaa</w:t>
      </w:r>
      <w:proofErr w:type="spellEnd"/>
      <w:r w:rsidRPr="00CD1A9F">
        <w:rPr>
          <w:rFonts w:cstheme="minorHAnsi"/>
          <w:sz w:val="24"/>
          <w:szCs w:val="24"/>
        </w:rPr>
        <w:t>.</w:t>
      </w: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533F48B" w14:textId="150AF572" w:rsidR="00CD1A9F" w:rsidRPr="00CD1A9F" w:rsidRDefault="003C41F9" w:rsidP="00746022">
      <w:pPr>
        <w:jc w:val="both"/>
        <w:rPr>
          <w:rFonts w:cstheme="minorHAnsi"/>
          <w:sz w:val="24"/>
          <w:szCs w:val="24"/>
        </w:rPr>
      </w:pPr>
      <w:proofErr w:type="spellStart"/>
      <w:r>
        <w:rPr>
          <w:rFonts w:cstheme="minorHAnsi"/>
          <w:sz w:val="24"/>
          <w:szCs w:val="24"/>
        </w:rPr>
        <w:t>dadsa</w:t>
      </w:r>
      <w:proofErr w:type="spellEnd"/>
    </w:p>
    <w:p w14:paraId="2E995081" w14:textId="6076CE4F"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Combined Solution</w:t>
      </w:r>
    </w:p>
    <w:p w14:paraId="48D599DF" w14:textId="4AF8D319" w:rsidR="003C41F9" w:rsidRDefault="00746022" w:rsidP="00746022">
      <w:proofErr w:type="spellStart"/>
      <w:r>
        <w:t>D</w:t>
      </w:r>
      <w:r w:rsidR="003C41F9">
        <w:t>dvx</w:t>
      </w:r>
      <w:proofErr w:type="spellEnd"/>
    </w:p>
    <w:p w14:paraId="61719D13" w14:textId="77777777" w:rsidR="00746022" w:rsidRPr="003C41F9" w:rsidRDefault="00746022" w:rsidP="00746022"/>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819186E"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6C2F30CE" w14:textId="1A810557"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Lebanese Languages</w:t>
      </w:r>
    </w:p>
    <w:p w14:paraId="219A2748" w14:textId="7FFE1AB6" w:rsidR="008F6173" w:rsidRDefault="00CD1A9F" w:rsidP="002746D5">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people mostly use four languages: Lebanese, Arabic, English, and French. These languages have their own standard form and format except the Lebanese language as it is a volatile language that doesn't follow any specific standard and can be written using </w:t>
      </w:r>
      <w:r w:rsidR="002746D5">
        <w:rPr>
          <w:rFonts w:eastAsia="Times New Roman" w:cstheme="minorHAnsi"/>
          <w:color w:val="0E101A"/>
          <w:sz w:val="24"/>
          <w:szCs w:val="24"/>
        </w:rPr>
        <w:t>different</w:t>
      </w:r>
      <w:r w:rsidRPr="00CD1A9F">
        <w:rPr>
          <w:rFonts w:eastAsia="Times New Roman" w:cstheme="minorHAnsi"/>
          <w:color w:val="0E101A"/>
          <w:sz w:val="24"/>
          <w:szCs w:val="24"/>
        </w:rPr>
        <w:t xml:space="preserve"> letters </w:t>
      </w:r>
      <w:r w:rsidR="002746D5">
        <w:rPr>
          <w:rFonts w:eastAsia="Times New Roman" w:cstheme="minorHAnsi"/>
          <w:color w:val="0E101A"/>
          <w:sz w:val="24"/>
          <w:szCs w:val="24"/>
        </w:rPr>
        <w:t>while keeping</w:t>
      </w:r>
      <w:r w:rsidRPr="00CD1A9F">
        <w:rPr>
          <w:rFonts w:eastAsia="Times New Roman" w:cstheme="minorHAnsi"/>
          <w:color w:val="0E101A"/>
          <w:sz w:val="24"/>
          <w:szCs w:val="24"/>
        </w:rPr>
        <w:t xml:space="preserve"> the same meaning. </w:t>
      </w:r>
      <w:r w:rsidR="002746D5" w:rsidRPr="002746D5">
        <w:rPr>
          <w:rFonts w:eastAsia="Times New Roman" w:cstheme="minorHAnsi"/>
          <w:color w:val="0E101A"/>
          <w:sz w:val="24"/>
          <w:szCs w:val="24"/>
        </w:rPr>
        <w:t xml:space="preserve">Although </w:t>
      </w:r>
      <w:r w:rsidRPr="00CD1A9F">
        <w:rPr>
          <w:rFonts w:eastAsia="Times New Roman" w:cstheme="minorHAnsi"/>
          <w:color w:val="0E101A"/>
          <w:sz w:val="24"/>
          <w:szCs w:val="24"/>
        </w:rPr>
        <w:t xml:space="preserve">the Lebanese language uses Arabic letters and </w:t>
      </w:r>
      <w:r w:rsidR="002746D5">
        <w:rPr>
          <w:rFonts w:eastAsia="Times New Roman" w:cstheme="minorHAnsi"/>
          <w:color w:val="0E101A"/>
          <w:sz w:val="24"/>
          <w:szCs w:val="24"/>
        </w:rPr>
        <w:t>can</w:t>
      </w:r>
      <w:r w:rsidRPr="00CD1A9F">
        <w:rPr>
          <w:rFonts w:eastAsia="Times New Roman" w:cstheme="minorHAnsi"/>
          <w:color w:val="0E101A"/>
          <w:sz w:val="24"/>
          <w:szCs w:val="24"/>
        </w:rPr>
        <w:t xml:space="preserve">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1AF5B97"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1</w:t>
      </w:r>
      <w:r w:rsidR="003C1F1A">
        <w:rPr>
          <w:noProof/>
        </w:rPr>
        <w:fldChar w:fldCharType="end"/>
      </w:r>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456ED613"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w:t>
      </w:r>
      <w:r w:rsidR="002746D5">
        <w:rPr>
          <w:rFonts w:eastAsia="Times New Roman" w:cstheme="minorHAnsi"/>
          <w:color w:val="0E101A"/>
          <w:sz w:val="24"/>
          <w:szCs w:val="24"/>
        </w:rPr>
        <w:t xml:space="preserve">in this research </w:t>
      </w:r>
      <w:r w:rsidRPr="00CD1A9F">
        <w:rPr>
          <w:rFonts w:eastAsia="Times New Roman" w:cstheme="minorHAnsi"/>
          <w:color w:val="0E101A"/>
          <w:sz w:val="24"/>
          <w:szCs w:val="24"/>
        </w:rPr>
        <w:t>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2FDA645F"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2</w:t>
      </w:r>
      <w:r w:rsidR="003C1F1A">
        <w:rPr>
          <w:noProof/>
        </w:rPr>
        <w:fldChar w:fldCharType="end"/>
      </w:r>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2D8E3081"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uses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1089602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Lebanese-English Dictionary Of ~2500 Words </w:t>
      </w:r>
    </w:p>
    <w:p w14:paraId="3804347B" w14:textId="0DB86FEF" w:rsidR="00A95ED4" w:rsidRDefault="00CD1A9F" w:rsidP="004F36B4">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The first thing we did was to gather the most used Lebanese words and translate them manually to create a dictionary of Lebanese-To-English translation</w:t>
      </w:r>
      <w:r w:rsidR="00334DE8">
        <w:rPr>
          <w:rFonts w:eastAsia="Times New Roman" w:cstheme="minorHAnsi"/>
          <w:color w:val="0E101A"/>
          <w:sz w:val="24"/>
          <w:szCs w:val="24"/>
        </w:rPr>
        <w:t xml:space="preserve"> mapping</w:t>
      </w:r>
      <w:r w:rsidRPr="00CD1A9F">
        <w:rPr>
          <w:rFonts w:eastAsia="Times New Roman" w:cstheme="minorHAnsi"/>
          <w:color w:val="0E101A"/>
          <w:sz w:val="24"/>
          <w:szCs w:val="24"/>
        </w:rPr>
        <w:t>. Some of these words were gathered from Google's Lebanese-To-English dictionary</w:t>
      </w:r>
      <w:r w:rsidR="00334DE8">
        <w:rPr>
          <w:rFonts w:eastAsia="Times New Roman" w:cstheme="minorHAnsi"/>
          <w:color w:val="0E101A"/>
          <w:sz w:val="24"/>
          <w:szCs w:val="24"/>
        </w:rPr>
        <w:t xml:space="preserve"> </w:t>
      </w:r>
      <w:r w:rsidRPr="00CD1A9F">
        <w:rPr>
          <w:rFonts w:eastAsia="Times New Roman" w:cstheme="minorHAnsi"/>
          <w:color w:val="0E101A"/>
          <w:sz w:val="24"/>
          <w:szCs w:val="24"/>
        </w:rPr>
        <w:t xml:space="preserve">[1] containing around 1500 Lebanese words 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w:t>
      </w:r>
      <w:r w:rsidR="00334DE8">
        <w:rPr>
          <w:rFonts w:eastAsia="Times New Roman" w:cstheme="minorHAnsi"/>
          <w:color w:val="0E101A"/>
          <w:sz w:val="24"/>
          <w:szCs w:val="24"/>
        </w:rPr>
        <w:t>where</w:t>
      </w:r>
      <w:r w:rsidRPr="00CD1A9F">
        <w:rPr>
          <w:rFonts w:eastAsia="Times New Roman" w:cstheme="minorHAnsi"/>
          <w:color w:val="0E101A"/>
          <w:sz w:val="24"/>
          <w:szCs w:val="24"/>
        </w:rPr>
        <w:t xml:space="preserve"> we </w:t>
      </w:r>
      <w:r w:rsidR="004F36B4">
        <w:rPr>
          <w:rFonts w:eastAsia="Times New Roman" w:cstheme="minorHAnsi"/>
          <w:color w:val="0E101A"/>
          <w:sz w:val="24"/>
          <w:szCs w:val="24"/>
        </w:rPr>
        <w:t>tried our best to keep the definition as global and general as possible to match as many use-cases as we could. We should also note that some words’ meaning can differ according to the context.</w:t>
      </w:r>
    </w:p>
    <w:p w14:paraId="52F6CAB4" w14:textId="7DD20570" w:rsidR="00334DE8" w:rsidRDefault="00334DE8" w:rsidP="00334DE8">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3</w:t>
      </w:r>
      <w:r w:rsidR="003C1F1A">
        <w:rPr>
          <w:noProof/>
        </w:rPr>
        <w:fldChar w:fldCharType="end"/>
      </w:r>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77777777"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677FDAB9"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4</w:t>
      </w:r>
      <w:r w:rsidR="003C1F1A">
        <w:rPr>
          <w:noProof/>
        </w:rPr>
        <w:fldChar w:fldCharType="end"/>
      </w:r>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67E43D97"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 xml:space="preserve">EN </w:t>
            </w:r>
            <w:r w:rsidR="003E0978">
              <w:rPr>
                <w:rFonts w:eastAsia="Times New Roman" w:cstheme="minorHAnsi"/>
                <w:color w:val="0E101A"/>
                <w:sz w:val="28"/>
                <w:szCs w:val="28"/>
              </w:rPr>
              <w:t>Singles</w:t>
            </w:r>
          </w:p>
        </w:tc>
        <w:tc>
          <w:tcPr>
            <w:tcW w:w="2608" w:type="pct"/>
          </w:tcPr>
          <w:p w14:paraId="2506995B" w14:textId="55854341"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 xml:space="preserve">AR </w:t>
            </w:r>
            <w:r w:rsidR="003E0978">
              <w:rPr>
                <w:rFonts w:eastAsia="Times New Roman" w:cstheme="minorHAnsi"/>
                <w:color w:val="0E101A"/>
                <w:sz w:val="28"/>
                <w:szCs w:val="28"/>
              </w:rPr>
              <w:t>Mapping</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F1C7C26"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5</w:t>
      </w:r>
      <w:r w:rsidR="003C1F1A">
        <w:rPr>
          <w:noProof/>
        </w:rPr>
        <w:fldChar w:fldCharType="end"/>
      </w:r>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0D730432"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 Doubles</w:t>
            </w:r>
          </w:p>
        </w:tc>
        <w:tc>
          <w:tcPr>
            <w:tcW w:w="2543" w:type="pct"/>
          </w:tcPr>
          <w:p w14:paraId="4D825953" w14:textId="4EAA7FCC"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 Mapping</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6194A454"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6</w:t>
      </w:r>
      <w:r w:rsidR="003C1F1A">
        <w:rPr>
          <w:noProof/>
        </w:rPr>
        <w:fldChar w:fldCharType="end"/>
      </w:r>
      <w:r>
        <w:t xml:space="preserve"> - Translation Operation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44F70AB"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our dictionary didn't cover everything and still lacked a lot of words, we tried to check for similar words by using different methods (Insertion, Deletion, and Substitution) as some words differ by 1-2 letters but still have the same meaning. These methods are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[1] methods and can be observed in the following example</w:t>
      </w:r>
      <w:r w:rsidR="00105CF1">
        <w:rPr>
          <w:rFonts w:eastAsia="Times New Roman" w:cstheme="minorHAnsi"/>
          <w:color w:val="0E101A"/>
          <w:sz w:val="24"/>
          <w:szCs w:val="24"/>
        </w:rPr>
        <w:t xml:space="preserve"> (Table 7)</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860803D"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7</w:t>
      </w:r>
      <w:r w:rsidR="003C1F1A">
        <w:rPr>
          <w:noProof/>
        </w:rPr>
        <w:fldChar w:fldCharType="end"/>
      </w:r>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02760C23"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743D5B">
              <w:rPr>
                <w:rFonts w:eastAsia="Times New Roman" w:cstheme="minorHAnsi"/>
                <w:color w:val="0E101A"/>
                <w:sz w:val="28"/>
                <w:szCs w:val="28"/>
              </w:rPr>
              <w:t>Action</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4DC964B" w:rsidR="00743D5B" w:rsidRPr="00F93675"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3BF06547" w:rsidR="00743D5B" w:rsidRPr="00F93675"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6194692E" w:rsidR="00743D5B" w:rsidRPr="00F93675" w:rsidRDefault="00F32CAE"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188FB98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give very good results for individual word translation but lack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 xml:space="preserve">translates each word individually. Although the resulted text is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7EE39053"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8</w:t>
      </w:r>
      <w:r w:rsidR="003C1F1A">
        <w:rPr>
          <w:noProof/>
        </w:rPr>
        <w:fldChar w:fldCharType="end"/>
      </w:r>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1F0D16">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t xml:space="preserve">Figure </w:t>
      </w:r>
      <w:r w:rsidR="003C1F1A">
        <w:fldChar w:fldCharType="begin"/>
      </w:r>
      <w:r w:rsidR="003C1F1A">
        <w:instrText xml:space="preserve"> SEQ Figure \* ARABIC </w:instrText>
      </w:r>
      <w:r w:rsidR="003C1F1A">
        <w:fldChar w:fldCharType="separate"/>
      </w:r>
      <w:r>
        <w:rPr>
          <w:noProof/>
        </w:rPr>
        <w:t>1</w:t>
      </w:r>
      <w:r w:rsidR="003C1F1A">
        <w:rPr>
          <w:noProof/>
        </w:rPr>
        <w:fldChar w:fldCharType="end"/>
      </w:r>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68075AD" w14:textId="2C57EDF3" w:rsidR="00301E14" w:rsidRDefault="00D72FCE" w:rsidP="00266164">
      <w:pPr>
        <w:pStyle w:val="ListParagraph"/>
        <w:ind w:left="0"/>
        <w:jc w:val="both"/>
        <w:rPr>
          <w:rFonts w:cstheme="minorHAnsi"/>
          <w:sz w:val="24"/>
          <w:szCs w:val="24"/>
        </w:rPr>
      </w:pPr>
      <w:r w:rsidRPr="00D72FCE">
        <w:rPr>
          <w:rFonts w:cstheme="minorHAnsi"/>
          <w:sz w:val="24"/>
          <w:szCs w:val="24"/>
        </w:rPr>
        <w:t xml:space="preserve">Sentiment analysis is an already known Natural Language Processing (NLP) method that extracts text sentiment and categorizes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4450437E" w14:textId="77777777" w:rsidR="0068797B" w:rsidRDefault="0068797B" w:rsidP="00266164">
      <w:pPr>
        <w:pStyle w:val="ListParagraph"/>
        <w:ind w:left="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18F3325C" w:rsidR="002714C0" w:rsidRPr="002714C0" w:rsidRDefault="002714C0" w:rsidP="002714C0">
      <w:pPr>
        <w:pStyle w:val="ListParagraph"/>
        <w:ind w:left="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the social activity by observing the discussed topics between people.</w:t>
      </w:r>
    </w:p>
    <w:p w14:paraId="66BC2061" w14:textId="593B33BE"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 It is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464976A"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are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74940525" w:rsidR="002714C0" w:rsidRDefault="002714C0" w:rsidP="002714C0">
      <w:pPr>
        <w:pStyle w:val="ListParagraph"/>
        <w:ind w:left="0"/>
        <w:jc w:val="both"/>
        <w:rPr>
          <w:rFonts w:cstheme="minorHAnsi"/>
          <w:sz w:val="24"/>
          <w:szCs w:val="24"/>
        </w:rPr>
      </w:pPr>
      <w:r w:rsidRPr="002714C0">
        <w:rPr>
          <w:rFonts w:cstheme="minorHAnsi"/>
          <w:sz w:val="24"/>
          <w:szCs w:val="24"/>
        </w:rPr>
        <w:t>We chose to set our model to return the best 25 bi-grams and 25 tri-grams combinations which we then filtered manually for better results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7AB99839" w14:textId="7194FA20" w:rsidR="002C392F" w:rsidRPr="002C392F" w:rsidRDefault="002C392F" w:rsidP="002C392F">
      <w:pPr>
        <w:pStyle w:val="ListParagraph"/>
        <w:ind w:left="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D11BDF7" w14:textId="6C6EBE97" w:rsidR="002C392F" w:rsidRDefault="002C392F" w:rsidP="002C392F">
      <w:pPr>
        <w:pStyle w:val="ListParagraph"/>
        <w:ind w:left="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proofErr w:type="gramStart"/>
      <w:r w:rsidRPr="002C392F">
        <w:rPr>
          <w:rFonts w:cstheme="minorHAnsi"/>
          <w:sz w:val="24"/>
          <w:szCs w:val="24"/>
        </w:rPr>
        <w:t>Of</w:t>
      </w:r>
      <w:proofErr w:type="gramEnd"/>
      <w:r w:rsidRPr="002C392F">
        <w:rPr>
          <w:rFonts w:cstheme="minorHAnsi"/>
          <w:sz w:val="24"/>
          <w:szCs w:val="24"/>
        </w:rPr>
        <w:t xml:space="preserve"> Health's daily reports as it was the most accurate, to get some hints about when there was a sudden increase in Covid-19 cases. These "Hot Days" were used as a reference to search for what happened at that time and whether there was any public activity that helped in spreading the virus.</w:t>
      </w:r>
    </w:p>
    <w:p w14:paraId="6F929F7D" w14:textId="77777777" w:rsidR="003C1F1A" w:rsidRPr="002C392F" w:rsidRDefault="003C1F1A" w:rsidP="002C392F">
      <w:pPr>
        <w:pStyle w:val="ListParagraph"/>
        <w:ind w:left="0"/>
        <w:jc w:val="both"/>
        <w:rPr>
          <w:rFonts w:cstheme="minorHAnsi"/>
          <w:sz w:val="24"/>
          <w:szCs w:val="24"/>
        </w:rPr>
      </w:pPr>
    </w:p>
    <w:p w14:paraId="6CB17EED" w14:textId="1DFA23D9"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Getting Tweets and Cleaning Data</w:t>
      </w:r>
    </w:p>
    <w:p w14:paraId="705F2DE6" w14:textId="66FD6955" w:rsidR="002C392F" w:rsidRDefault="002C392F" w:rsidP="002C392F">
      <w:pPr>
        <w:pStyle w:val="ListParagraph"/>
        <w:ind w:left="0"/>
        <w:jc w:val="both"/>
        <w:rPr>
          <w:rFonts w:cstheme="minorHAnsi"/>
          <w:sz w:val="24"/>
          <w:szCs w:val="24"/>
        </w:rPr>
      </w:pPr>
      <w:r w:rsidRPr="002C392F">
        <w:rPr>
          <w:rFonts w:cstheme="minorHAnsi"/>
          <w:sz w:val="24"/>
          <w:szCs w:val="24"/>
        </w:rPr>
        <w:t>Our method was to check what was trending on twitter in the range of 4-5 days before each of these days as the sudden increase might not be directly due to that specific day's events. 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22BEC383" w14:textId="77777777" w:rsidR="003C1F1A" w:rsidRPr="002C392F" w:rsidRDefault="003C1F1A" w:rsidP="002C392F">
      <w:pPr>
        <w:pStyle w:val="ListParagraph"/>
        <w:ind w:left="0"/>
        <w:jc w:val="both"/>
        <w:rPr>
          <w:rFonts w:cstheme="minorHAnsi"/>
          <w:sz w:val="24"/>
          <w:szCs w:val="24"/>
        </w:rPr>
      </w:pPr>
    </w:p>
    <w:p w14:paraId="0E70CEAA" w14:textId="04FFD82C"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 xml:space="preserve">Manual </w:t>
      </w:r>
      <w:r w:rsidRPr="002C392F">
        <w:rPr>
          <w:rFonts w:cstheme="minorHAnsi"/>
          <w:sz w:val="24"/>
          <w:szCs w:val="24"/>
        </w:rPr>
        <w:t>Filtering</w:t>
      </w:r>
    </w:p>
    <w:p w14:paraId="6E410E1A" w14:textId="18B4F7D9" w:rsidR="005F5AD2" w:rsidRPr="002714C0" w:rsidRDefault="002C392F" w:rsidP="002C392F">
      <w:pPr>
        <w:pStyle w:val="ListParagraph"/>
        <w:ind w:left="0"/>
        <w:jc w:val="both"/>
        <w:rPr>
          <w:rFonts w:cstheme="minorHAnsi"/>
          <w:sz w:val="24"/>
          <w:szCs w:val="24"/>
        </w:rPr>
      </w:pPr>
      <w:r w:rsidRPr="002C392F">
        <w:rPr>
          <w:rFonts w:cstheme="minorHAnsi"/>
          <w:sz w:val="24"/>
          <w:szCs w:val="24"/>
        </w:rPr>
        <w:t>After cleaning and filtering the data, we then got the needed geo data for any location reference in the remaining tweets and created a record of these gathering spots in each day.</w:t>
      </w:r>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4"/>
  </w:num>
  <w:num w:numId="4">
    <w:abstractNumId w:val="9"/>
  </w:num>
  <w:num w:numId="5">
    <w:abstractNumId w:val="1"/>
  </w:num>
  <w:num w:numId="6">
    <w:abstractNumId w:val="11"/>
  </w:num>
  <w:num w:numId="7">
    <w:abstractNumId w:val="5"/>
  </w:num>
  <w:num w:numId="8">
    <w:abstractNumId w:val="3"/>
  </w:num>
  <w:num w:numId="9">
    <w:abstractNumId w:val="8"/>
  </w:num>
  <w:num w:numId="10">
    <w:abstractNumId w:val="2"/>
  </w:num>
  <w:num w:numId="11">
    <w:abstractNumId w:val="6"/>
  </w:num>
  <w:num w:numId="12">
    <w:abstractNumId w:val="7"/>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303AF"/>
    <w:rsid w:val="00031952"/>
    <w:rsid w:val="00085C5C"/>
    <w:rsid w:val="000B72AF"/>
    <w:rsid w:val="000B7886"/>
    <w:rsid w:val="00105CF1"/>
    <w:rsid w:val="001B2D94"/>
    <w:rsid w:val="001D77BE"/>
    <w:rsid w:val="001E1CEC"/>
    <w:rsid w:val="001F0D16"/>
    <w:rsid w:val="00266164"/>
    <w:rsid w:val="002714C0"/>
    <w:rsid w:val="002746D5"/>
    <w:rsid w:val="002C26E6"/>
    <w:rsid w:val="002C392F"/>
    <w:rsid w:val="00301E14"/>
    <w:rsid w:val="00334DE8"/>
    <w:rsid w:val="003C1F1A"/>
    <w:rsid w:val="003C2031"/>
    <w:rsid w:val="003C41F9"/>
    <w:rsid w:val="003E0978"/>
    <w:rsid w:val="003E5D80"/>
    <w:rsid w:val="004F36B4"/>
    <w:rsid w:val="005947E4"/>
    <w:rsid w:val="005F05F4"/>
    <w:rsid w:val="005F5AD2"/>
    <w:rsid w:val="00624B98"/>
    <w:rsid w:val="0068797B"/>
    <w:rsid w:val="006C5041"/>
    <w:rsid w:val="00724723"/>
    <w:rsid w:val="00743D5B"/>
    <w:rsid w:val="00746022"/>
    <w:rsid w:val="007A0D37"/>
    <w:rsid w:val="0084224B"/>
    <w:rsid w:val="00860317"/>
    <w:rsid w:val="00871B81"/>
    <w:rsid w:val="008F6173"/>
    <w:rsid w:val="00943922"/>
    <w:rsid w:val="00950D91"/>
    <w:rsid w:val="00A22A00"/>
    <w:rsid w:val="00A31E7F"/>
    <w:rsid w:val="00A95ED4"/>
    <w:rsid w:val="00AE36BD"/>
    <w:rsid w:val="00B244B0"/>
    <w:rsid w:val="00B7460E"/>
    <w:rsid w:val="00BC500F"/>
    <w:rsid w:val="00CB683A"/>
    <w:rsid w:val="00CB6D57"/>
    <w:rsid w:val="00CD1A9F"/>
    <w:rsid w:val="00CD2666"/>
    <w:rsid w:val="00CD538D"/>
    <w:rsid w:val="00D72FCE"/>
    <w:rsid w:val="00EF25A8"/>
    <w:rsid w:val="00EF3FF9"/>
    <w:rsid w:val="00F32CAE"/>
    <w:rsid w:val="00F8492A"/>
    <w:rsid w:val="00F93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40</cp:revision>
  <dcterms:created xsi:type="dcterms:W3CDTF">2020-10-13T18:50:00Z</dcterms:created>
  <dcterms:modified xsi:type="dcterms:W3CDTF">2020-10-15T15:36:00Z</dcterms:modified>
</cp:coreProperties>
</file>