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4686D"/>
          <w:sz w:val="18"/>
        </w:rPr>
        <w:t>COMPETITIVE CAPABILITY COMPARISON</w:t>
      </w:r>
    </w:p>
    <w:p>
      <w:pPr>
        <w:spacing w:after="80"/>
      </w:pPr>
      <w:r>
        <w:rPr>
          <w:b/>
          <w:color w:val="142A33"/>
          <w:sz w:val="52"/>
        </w:rPr>
        <w:t>ScaleNexus vs Arini</w:t>
      </w:r>
    </w:p>
    <w:p>
      <w:pPr>
        <w:spacing w:after="280"/>
      </w:pPr>
      <w:r>
        <w:rPr>
          <w:color w:val="54686D"/>
          <w:sz w:val="23"/>
        </w:rPr>
        <w:t>Feature-by-feature comparison of the AI voice and patient-engagement platform against the leading YC-backed AI dental receptionist</w:t>
      </w:r>
    </w:p>
    <w:tbl>
      <w:tblPr>
        <w:tblStyle w:val="TableGrid"/>
        <w:tblW w:type="auto" w:w="0"/>
        <w:jc w:val="center"/>
        <w:tblLook w:firstColumn="1" w:firstRow="1" w:lastColumn="0" w:lastRow="0" w:noHBand="0" w:noVBand="1" w:val="04A0"/>
      </w:tblPr>
      <w:tblGrid>
        <w:gridCol w:w="4896"/>
        <w:gridCol w:w="4896"/>
      </w:tblGrid>
      <w:tr>
        <w:tc>
          <w:tcPr>
            <w:tcW w:type="dxa" w:w="2160"/>
            <w:shd w:val="clear" w:fill="0F2229"/>
          </w:tcPr>
          <w:p>
            <w:pPr>
              <w:spacing w:after="40" w:before="40"/>
            </w:pPr>
            <w:r/>
            <w:r>
              <w:rPr>
                <w:rFonts w:ascii="Calibri" w:hAnsi="Calibri"/>
                <w:b/>
                <w:color w:val="FFFFFF"/>
                <w:sz w:val="17"/>
              </w:rPr>
            </w:r>
          </w:p>
        </w:tc>
        <w:tc>
          <w:tcPr>
            <w:tcW w:type="dxa" w:w="7776"/>
            <w:shd w:val="clear" w:fill="0F2229"/>
          </w:tcPr>
          <w:p>
            <w:pPr>
              <w:spacing w:after="40" w:before="40"/>
            </w:pPr>
            <w:r/>
            <w:r>
              <w:rPr>
                <w:rFonts w:ascii="Calibri" w:hAnsi="Calibri"/>
                <w:b/>
                <w:color w:val="FFFFFF"/>
                <w:sz w:val="17"/>
              </w:rPr>
              <w:t>Detail</w:t>
            </w:r>
          </w:p>
        </w:tc>
      </w:tr>
      <w:tr>
        <w:tc>
          <w:tcPr>
            <w:tcW w:type="dxa" w:w="2160"/>
          </w:tcPr>
          <w:p>
            <w:pPr>
              <w:spacing w:after="40" w:before="40"/>
            </w:pPr>
            <w:r/>
            <w:r>
              <w:rPr>
                <w:rFonts w:ascii="Calibri" w:hAnsi="Calibri"/>
                <w:b w:val="0"/>
                <w:color w:val="142A33"/>
                <w:sz w:val="19"/>
              </w:rPr>
              <w:t>Prepared</w:t>
            </w:r>
          </w:p>
        </w:tc>
        <w:tc>
          <w:tcPr>
            <w:tcW w:type="dxa" w:w="7776"/>
          </w:tcPr>
          <w:p>
            <w:pPr>
              <w:spacing w:after="40" w:before="40"/>
            </w:pPr>
            <w:r/>
            <w:r>
              <w:rPr>
                <w:rFonts w:ascii="Calibri" w:hAnsi="Calibri"/>
                <w:b w:val="0"/>
                <w:color w:val="142A33"/>
                <w:sz w:val="19"/>
              </w:rPr>
              <w:t>September 2026</w:t>
            </w:r>
          </w:p>
        </w:tc>
      </w:tr>
      <w:tr>
        <w:tc>
          <w:tcPr>
            <w:tcW w:type="dxa" w:w="2160"/>
            <w:shd w:val="clear" w:fill="F1F4F3"/>
          </w:tcPr>
          <w:p>
            <w:pPr>
              <w:spacing w:after="40" w:before="40"/>
            </w:pPr>
            <w:r/>
            <w:r>
              <w:rPr>
                <w:rFonts w:ascii="Calibri" w:hAnsi="Calibri"/>
                <w:b w:val="0"/>
                <w:color w:val="142A33"/>
                <w:sz w:val="19"/>
              </w:rPr>
              <w:t>ScaleNexus baseline</w:t>
            </w:r>
          </w:p>
        </w:tc>
        <w:tc>
          <w:tcPr>
            <w:tcW w:type="dxa" w:w="7776"/>
            <w:shd w:val="clear" w:fill="F1F4F3"/>
          </w:tcPr>
          <w:p>
            <w:pPr>
              <w:spacing w:after="40" w:before="40"/>
            </w:pPr>
            <w:r/>
            <w:r>
              <w:rPr>
                <w:rFonts w:ascii="Calibri" w:hAnsi="Calibri"/>
                <w:b w:val="0"/>
                <w:color w:val="142A33"/>
                <w:sz w:val="19"/>
              </w:rPr>
              <w:t>Live code on the staging branch — 17-PMS capability matrix, workflow engine, inbound + outbound agents</w:t>
            </w:r>
          </w:p>
        </w:tc>
      </w:tr>
      <w:tr>
        <w:tc>
          <w:tcPr>
            <w:tcW w:type="dxa" w:w="2160"/>
          </w:tcPr>
          <w:p>
            <w:pPr>
              <w:spacing w:after="40" w:before="40"/>
            </w:pPr>
            <w:r/>
            <w:r>
              <w:rPr>
                <w:rFonts w:ascii="Calibri" w:hAnsi="Calibri"/>
                <w:b w:val="0"/>
                <w:color w:val="142A33"/>
                <w:sz w:val="19"/>
              </w:rPr>
              <w:t>Arini baseline</w:t>
            </w:r>
          </w:p>
        </w:tc>
        <w:tc>
          <w:tcPr>
            <w:tcW w:type="dxa" w:w="7776"/>
          </w:tcPr>
          <w:p>
            <w:pPr>
              <w:spacing w:after="40" w:before="40"/>
            </w:pPr>
            <w:r/>
            <w:r>
              <w:rPr>
                <w:rFonts w:ascii="Calibri" w:hAnsi="Calibri"/>
                <w:b w:val="0"/>
                <w:color w:val="142A33"/>
                <w:sz w:val="19"/>
              </w:rPr>
              <w:t>Public product pages, YC company profile and funding databases as of September 2026</w:t>
            </w:r>
          </w:p>
        </w:tc>
      </w:tr>
      <w:tr>
        <w:tc>
          <w:tcPr>
            <w:tcW w:type="dxa" w:w="2160"/>
            <w:shd w:val="clear" w:fill="F1F4F3"/>
          </w:tcPr>
          <w:p>
            <w:pPr>
              <w:spacing w:after="40" w:before="40"/>
            </w:pPr>
            <w:r/>
            <w:r>
              <w:rPr>
                <w:rFonts w:ascii="Calibri" w:hAnsi="Calibri"/>
                <w:b w:val="0"/>
                <w:color w:val="142A33"/>
                <w:sz w:val="19"/>
              </w:rPr>
              <w:t>Scope</w:t>
            </w:r>
          </w:p>
        </w:tc>
        <w:tc>
          <w:tcPr>
            <w:tcW w:type="dxa" w:w="7776"/>
            <w:shd w:val="clear" w:fill="F1F4F3"/>
          </w:tcPr>
          <w:p>
            <w:pPr>
              <w:spacing w:after="40" w:before="40"/>
            </w:pPr>
            <w:r/>
            <w:r>
              <w:rPr>
                <w:rFonts w:ascii="Calibri" w:hAnsi="Calibri"/>
                <w:b w:val="0"/>
                <w:color w:val="142A33"/>
                <w:sz w:val="19"/>
              </w:rPr>
              <w:t>Product capability only. Not a market-share, pricing or go-to-market comparison.</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F5E9E3"/>
          </w:tcPr>
          <w:p>
            <w:pPr>
              <w:spacing w:before="100" w:after="40"/>
            </w:pPr>
            <w:r/>
            <w:r>
              <w:rPr>
                <w:b/>
                <w:color w:val="9E3F28"/>
                <w:sz w:val="18"/>
              </w:rPr>
              <w:t>ACCURACY NOTE — TWO DIFFERENT COMPANIES ARE NAMED ARINI</w:t>
            </w:r>
          </w:p>
          <w:p>
            <w:pPr>
              <w:spacing w:after="60"/>
            </w:pPr>
            <w:r>
              <w:rPr>
                <w:color w:val="142A33"/>
                <w:sz w:val="19"/>
              </w:rPr>
              <w:t>Funding databases conflate two unrelated entities that share the name Arini, and the resulting figures circulate internally as fact. They must not be repeated.</w:t>
            </w:r>
          </w:p>
          <w:p>
            <w:pPr>
              <w:spacing w:after="60"/>
              <w:ind w:left="173"/>
            </w:pPr>
            <w:r>
              <w:rPr>
                <w:color w:val="142A33"/>
                <w:sz w:val="19"/>
              </w:rPr>
              <w:t>• Arini (arini.ai) — the competitor in this document. AI receptionist for dental practices, Y Combinator W24, founded 2024, San Francisco. Disclosed funding: a $500K seed round. Some aggregators report up to ~US$1.1M in total; round dates vary between sources.</w:t>
            </w:r>
          </w:p>
          <w:p>
            <w:pPr>
              <w:spacing w:after="60"/>
              <w:ind w:left="173"/>
            </w:pPr>
            <w:r>
              <w:rPr>
                <w:color w:val="142A33"/>
                <w:sz w:val="19"/>
              </w:rPr>
              <w:t>• Arini (Arini Capital) — a London-based credit fund, no relation. It appears as one of roughly a dozen CO-INVESTORS in SumUp's US$1.6B private-credit debt deal of May 2024, which Goldman Sachs led. SumUp is a European payments and card-reader company. That $1.6B was money the fund helped lend TO SumUp — not money raised BY the dental startup, not equity, and not Goldman Sachs investing in a dental AI company.</w:t>
            </w:r>
          </w:p>
          <w:p>
            <w:pPr>
              <w:spacing w:after="100"/>
            </w:pPr>
            <w:r>
              <w:rPr>
                <w:color w:val="142A33"/>
                <w:sz w:val="19"/>
              </w:rPr>
              <w:t>For the same reason, Y Combinator's standard batch investment is $500K, not $500M. Quoting $500M or $1.6B against this competitor is falsifiable in under a minute and would discredit every other claim in this document.</w:t>
            </w:r>
          </w:p>
        </w:tc>
      </w:tr>
    </w:tbl>
    <w:p>
      <w:pPr>
        <w:spacing w:after="40"/>
      </w:pPr>
    </w:p>
    <w:p>
      <w:pPr>
        <w:spacing w:before="400" w:after="160"/>
      </w:pPr>
      <w:r>
        <w:rPr>
          <w:b/>
          <w:color w:val="142A33"/>
          <w:sz w:val="30"/>
        </w:rPr>
        <w:t>1 · Company snapshot</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fill="0F2229"/>
          </w:tcPr>
          <w:p>
            <w:pPr>
              <w:spacing w:after="40" w:before="40"/>
            </w:pPr>
            <w:r/>
            <w:r>
              <w:rPr>
                <w:rFonts w:ascii="Calibri" w:hAnsi="Calibri"/>
                <w:b/>
                <w:color w:val="FFFFFF"/>
                <w:sz w:val="17"/>
              </w:rPr>
            </w:r>
          </w:p>
        </w:tc>
        <w:tc>
          <w:tcPr>
            <w:tcW w:type="dxa" w:w="3744"/>
            <w:shd w:val="clear" w:fill="0F2229"/>
          </w:tcPr>
          <w:p>
            <w:pPr>
              <w:spacing w:after="40" w:before="40"/>
            </w:pPr>
            <w:r/>
            <w:r>
              <w:rPr>
                <w:rFonts w:ascii="Calibri" w:hAnsi="Calibri"/>
                <w:b/>
                <w:color w:val="FFFFFF"/>
                <w:sz w:val="17"/>
              </w:rPr>
              <w:t>ScaleNexus</w:t>
            </w:r>
          </w:p>
        </w:tc>
        <w:tc>
          <w:tcPr>
            <w:tcW w:type="dxa" w:w="4248"/>
            <w:shd w:val="clear" w:fill="0F2229"/>
          </w:tcPr>
          <w:p>
            <w:pPr>
              <w:spacing w:after="40" w:before="40"/>
            </w:pPr>
            <w:r/>
            <w:r>
              <w:rPr>
                <w:rFonts w:ascii="Calibri" w:hAnsi="Calibri"/>
                <w:b/>
                <w:color w:val="FFFFFF"/>
                <w:sz w:val="17"/>
              </w:rPr>
              <w:t>Arini</w:t>
            </w:r>
          </w:p>
        </w:tc>
      </w:tr>
      <w:tr>
        <w:tc>
          <w:tcPr>
            <w:tcW w:type="dxa" w:w="1944"/>
          </w:tcPr>
          <w:p>
            <w:pPr>
              <w:spacing w:after="40" w:before="40"/>
            </w:pPr>
            <w:r/>
            <w:r>
              <w:rPr>
                <w:rFonts w:ascii="Calibri" w:hAnsi="Calibri"/>
                <w:b/>
                <w:color w:val="142A33"/>
                <w:sz w:val="18"/>
              </w:rPr>
              <w:t>Category</w:t>
            </w:r>
          </w:p>
        </w:tc>
        <w:tc>
          <w:tcPr>
            <w:tcW w:type="dxa" w:w="3744"/>
          </w:tcPr>
          <w:p>
            <w:pPr>
              <w:spacing w:after="40" w:before="40"/>
            </w:pPr>
            <w:r/>
            <w:r>
              <w:rPr>
                <w:rFonts w:ascii="Calibri" w:hAnsi="Calibri"/>
                <w:b w:val="0"/>
                <w:color w:val="142A33"/>
                <w:sz w:val="18"/>
              </w:rPr>
              <w:t>AI voice agent + patient-engagement platform for dental practices</w:t>
            </w:r>
          </w:p>
        </w:tc>
        <w:tc>
          <w:tcPr>
            <w:tcW w:type="dxa" w:w="4248"/>
          </w:tcPr>
          <w:p>
            <w:pPr>
              <w:spacing w:after="40" w:before="40"/>
            </w:pPr>
            <w:r/>
            <w:r>
              <w:rPr>
                <w:rFonts w:ascii="Calibri" w:hAnsi="Calibri"/>
                <w:b w:val="0"/>
                <w:color w:val="142A33"/>
                <w:sz w:val="18"/>
              </w:rPr>
              <w:t>AI receptionist for dental practices</w:t>
            </w:r>
          </w:p>
        </w:tc>
      </w:tr>
      <w:tr>
        <w:tc>
          <w:tcPr>
            <w:tcW w:type="dxa" w:w="1944"/>
            <w:shd w:val="clear" w:fill="F1F4F3"/>
          </w:tcPr>
          <w:p>
            <w:pPr>
              <w:spacing w:after="40" w:before="40"/>
            </w:pPr>
            <w:r/>
            <w:r>
              <w:rPr>
                <w:rFonts w:ascii="Calibri" w:hAnsi="Calibri"/>
                <w:b/>
                <w:color w:val="142A33"/>
                <w:sz w:val="18"/>
              </w:rPr>
              <w:t>Founded</w:t>
            </w:r>
          </w:p>
        </w:tc>
        <w:tc>
          <w:tcPr>
            <w:tcW w:type="dxa" w:w="3744"/>
            <w:shd w:val="clear" w:fill="F1F4F3"/>
          </w:tcPr>
          <w:p>
            <w:pPr>
              <w:spacing w:after="40" w:before="40"/>
            </w:pPr>
            <w:r/>
            <w:r>
              <w:rPr>
                <w:rFonts w:ascii="Calibri" w:hAnsi="Calibri"/>
                <w:b w:val="0"/>
                <w:color w:val="142A33"/>
                <w:sz w:val="18"/>
              </w:rPr>
              <w:t>Operating; multi-tenant platform in production</w:t>
            </w:r>
          </w:p>
        </w:tc>
        <w:tc>
          <w:tcPr>
            <w:tcW w:type="dxa" w:w="4248"/>
            <w:shd w:val="clear" w:fill="F1F4F3"/>
          </w:tcPr>
          <w:p>
            <w:pPr>
              <w:spacing w:after="40" w:before="40"/>
            </w:pPr>
            <w:r/>
            <w:r>
              <w:rPr>
                <w:rFonts w:ascii="Calibri" w:hAnsi="Calibri"/>
                <w:b w:val="0"/>
                <w:color w:val="142A33"/>
                <w:sz w:val="18"/>
              </w:rPr>
              <w:t>2024 · San Francisco</w:t>
            </w:r>
          </w:p>
        </w:tc>
      </w:tr>
      <w:tr>
        <w:tc>
          <w:tcPr>
            <w:tcW w:type="dxa" w:w="1944"/>
          </w:tcPr>
          <w:p>
            <w:pPr>
              <w:spacing w:after="40" w:before="40"/>
            </w:pPr>
            <w:r/>
            <w:r>
              <w:rPr>
                <w:rFonts w:ascii="Calibri" w:hAnsi="Calibri"/>
                <w:b/>
                <w:color w:val="142A33"/>
                <w:sz w:val="18"/>
              </w:rPr>
              <w:t>Backing</w:t>
            </w:r>
          </w:p>
        </w:tc>
        <w:tc>
          <w:tcPr>
            <w:tcW w:type="dxa" w:w="3744"/>
          </w:tcPr>
          <w:p>
            <w:pPr>
              <w:spacing w:after="40" w:before="40"/>
            </w:pPr>
            <w:r/>
            <w:r>
              <w:rPr>
                <w:rFonts w:ascii="Calibri" w:hAnsi="Calibri"/>
                <w:b w:val="0"/>
                <w:color w:val="142A33"/>
                <w:sz w:val="18"/>
              </w:rPr>
              <w:t>Privately funded</w:t>
            </w:r>
          </w:p>
        </w:tc>
        <w:tc>
          <w:tcPr>
            <w:tcW w:type="dxa" w:w="4248"/>
          </w:tcPr>
          <w:p>
            <w:pPr>
              <w:spacing w:after="40" w:before="40"/>
            </w:pPr>
            <w:r/>
            <w:r>
              <w:rPr>
                <w:rFonts w:ascii="Calibri" w:hAnsi="Calibri"/>
                <w:b w:val="0"/>
                <w:color w:val="142A33"/>
                <w:sz w:val="18"/>
              </w:rPr>
              <w:t>Y Combinator W24 · J17 Ventures · Sanabil Investments · SBXi · Transpose Platform Management</w:t>
            </w:r>
          </w:p>
        </w:tc>
      </w:tr>
      <w:tr>
        <w:tc>
          <w:tcPr>
            <w:tcW w:type="dxa" w:w="1944"/>
            <w:shd w:val="clear" w:fill="F1F4F3"/>
          </w:tcPr>
          <w:p>
            <w:pPr>
              <w:spacing w:after="40" w:before="40"/>
            </w:pPr>
            <w:r/>
            <w:r>
              <w:rPr>
                <w:rFonts w:ascii="Calibri" w:hAnsi="Calibri"/>
                <w:b/>
                <w:color w:val="142A33"/>
                <w:sz w:val="18"/>
              </w:rPr>
              <w:t>Disclosed funding</w:t>
            </w:r>
          </w:p>
        </w:tc>
        <w:tc>
          <w:tcPr>
            <w:tcW w:type="dxa" w:w="3744"/>
            <w:shd w:val="clear" w:fill="F1F4F3"/>
          </w:tcPr>
          <w:p>
            <w:pPr>
              <w:spacing w:after="40" w:before="40"/>
            </w:pPr>
            <w:r/>
            <w:r>
              <w:rPr>
                <w:rFonts w:ascii="Calibri" w:hAnsi="Calibri"/>
                <w:b w:val="0"/>
                <w:color w:val="142A33"/>
                <w:sz w:val="18"/>
              </w:rPr>
              <w:t>Not disclosed</w:t>
            </w:r>
          </w:p>
        </w:tc>
        <w:tc>
          <w:tcPr>
            <w:tcW w:type="dxa" w:w="4248"/>
            <w:shd w:val="clear" w:fill="F1F4F3"/>
          </w:tcPr>
          <w:p>
            <w:pPr>
              <w:spacing w:after="40" w:before="40"/>
            </w:pPr>
            <w:r/>
            <w:r>
              <w:rPr>
                <w:rFonts w:ascii="Calibri" w:hAnsi="Calibri"/>
                <w:b w:val="0"/>
                <w:color w:val="142A33"/>
                <w:sz w:val="18"/>
              </w:rPr>
              <w:t>$500K seed. Aggregators report up to ~US$1.1M total; dates vary by source. See the accuracy note on page 1 — the $1.6B Goldman Sachs figure belongs to SumUp and a same-named credit fund, not to this company.</w:t>
            </w:r>
          </w:p>
        </w:tc>
      </w:tr>
      <w:tr>
        <w:tc>
          <w:tcPr>
            <w:tcW w:type="dxa" w:w="1944"/>
          </w:tcPr>
          <w:p>
            <w:pPr>
              <w:spacing w:after="40" w:before="40"/>
            </w:pPr>
            <w:r/>
            <w:r>
              <w:rPr>
                <w:rFonts w:ascii="Calibri" w:hAnsi="Calibri"/>
                <w:b/>
                <w:color w:val="142A33"/>
                <w:sz w:val="18"/>
              </w:rPr>
              <w:t>Team size</w:t>
            </w:r>
          </w:p>
        </w:tc>
        <w:tc>
          <w:tcPr>
            <w:tcW w:type="dxa" w:w="3744"/>
          </w:tcPr>
          <w:p>
            <w:pPr>
              <w:spacing w:after="40" w:before="40"/>
            </w:pPr>
            <w:r/>
            <w:r>
              <w:rPr>
                <w:rFonts w:ascii="Calibri" w:hAnsi="Calibri"/>
                <w:b w:val="0"/>
                <w:color w:val="142A33"/>
                <w:sz w:val="18"/>
              </w:rPr>
              <w:t>Small engineering team</w:t>
            </w:r>
          </w:p>
        </w:tc>
        <w:tc>
          <w:tcPr>
            <w:tcW w:type="dxa" w:w="4248"/>
          </w:tcPr>
          <w:p>
            <w:pPr>
              <w:spacing w:after="40" w:before="40"/>
            </w:pPr>
            <w:r/>
            <w:r>
              <w:rPr>
                <w:rFonts w:ascii="Calibri" w:hAnsi="Calibri"/>
                <w:b w:val="0"/>
                <w:color w:val="142A33"/>
                <w:sz w:val="18"/>
              </w:rPr>
              <w:t>17 (per YC company profile)</w:t>
            </w:r>
          </w:p>
        </w:tc>
      </w:tr>
      <w:tr>
        <w:tc>
          <w:tcPr>
            <w:tcW w:type="dxa" w:w="1944"/>
            <w:shd w:val="clear" w:fill="F1F4F3"/>
          </w:tcPr>
          <w:p>
            <w:pPr>
              <w:spacing w:after="40" w:before="40"/>
            </w:pPr>
            <w:r/>
            <w:r>
              <w:rPr>
                <w:rFonts w:ascii="Calibri" w:hAnsi="Calibri"/>
                <w:b/>
                <w:color w:val="142A33"/>
                <w:sz w:val="18"/>
              </w:rPr>
              <w:t>Published scale claims</w:t>
            </w:r>
          </w:p>
        </w:tc>
        <w:tc>
          <w:tcPr>
            <w:tcW w:type="dxa" w:w="3744"/>
            <w:shd w:val="clear" w:fill="F1F4F3"/>
          </w:tcPr>
          <w:p>
            <w:pPr>
              <w:spacing w:after="40" w:before="40"/>
            </w:pPr>
            <w:r/>
            <w:r>
              <w:rPr>
                <w:rFonts w:ascii="Calibri" w:hAnsi="Calibri"/>
                <w:b w:val="0"/>
                <w:color w:val="142A33"/>
                <w:sz w:val="18"/>
              </w:rPr>
              <w:t>Not published</w:t>
            </w:r>
          </w:p>
        </w:tc>
        <w:tc>
          <w:tcPr>
            <w:tcW w:type="dxa" w:w="4248"/>
            <w:shd w:val="clear" w:fill="F1F4F3"/>
          </w:tcPr>
          <w:p>
            <w:pPr>
              <w:spacing w:after="40" w:before="40"/>
            </w:pPr>
            <w:r/>
            <w:r>
              <w:rPr>
                <w:rFonts w:ascii="Calibri" w:hAnsi="Calibri"/>
                <w:b w:val="0"/>
                <w:color w:val="142A33"/>
                <w:sz w:val="18"/>
              </w:rPr>
              <w:t>15,000+ calls/day · 1M+ appointments booked · up to 1,800 calls/month per location · 68% booking conversion</w:t>
            </w:r>
          </w:p>
        </w:tc>
      </w:tr>
      <w:tr>
        <w:tc>
          <w:tcPr>
            <w:tcW w:type="dxa" w:w="1944"/>
          </w:tcPr>
          <w:p>
            <w:pPr>
              <w:spacing w:after="40" w:before="40"/>
            </w:pPr>
            <w:r/>
            <w:r>
              <w:rPr>
                <w:rFonts w:ascii="Calibri" w:hAnsi="Calibri"/>
                <w:b/>
                <w:color w:val="142A33"/>
                <w:sz w:val="18"/>
              </w:rPr>
              <w:t>Positioning</w:t>
            </w:r>
          </w:p>
        </w:tc>
        <w:tc>
          <w:tcPr>
            <w:tcW w:type="dxa" w:w="3744"/>
          </w:tcPr>
          <w:p>
            <w:pPr>
              <w:spacing w:after="40" w:before="40"/>
            </w:pPr>
            <w:r/>
            <w:r>
              <w:rPr>
                <w:rFonts w:ascii="Calibri" w:hAnsi="Calibri"/>
                <w:b w:val="0"/>
                <w:color w:val="142A33"/>
                <w:sz w:val="18"/>
              </w:rPr>
              <w:t>Operating layer between the practice's PMS and its patients</w:t>
            </w:r>
          </w:p>
        </w:tc>
        <w:tc>
          <w:tcPr>
            <w:tcW w:type="dxa" w:w="4248"/>
          </w:tcPr>
          <w:p>
            <w:pPr>
              <w:spacing w:after="40" w:before="40"/>
            </w:pPr>
            <w:r/>
            <w:r>
              <w:rPr>
                <w:rFonts w:ascii="Calibri" w:hAnsi="Calibri"/>
                <w:b w:val="0"/>
                <w:color w:val="142A33"/>
                <w:sz w:val="18"/>
              </w:rPr>
              <w:t>The leading AI receptionist for dentists</w:t>
            </w:r>
          </w:p>
        </w:tc>
      </w:tr>
    </w:tbl>
    <w:p>
      <w:pPr>
        <w:spacing w:after="40"/>
      </w:pPr>
    </w:p>
    <w:p>
      <w:pPr>
        <w:spacing w:after="140"/>
      </w:pPr>
      <w:r>
        <w:rPr>
          <w:i/>
          <w:color w:val="54686D"/>
          <w:sz w:val="19"/>
        </w:rPr>
        <w:t>Arini is the better-known brand with materially more published traction. The comparison that follows therefore focuses on where the platforms differ in capability rather than in awareness.</w:t>
      </w:r>
    </w:p>
    <w:p>
      <w:pPr>
        <w:spacing w:before="400" w:after="160"/>
      </w:pPr>
      <w:r>
        <w:rPr>
          <w:b/>
          <w:color w:val="142A33"/>
          <w:sz w:val="30"/>
        </w:rPr>
        <w:t>2 · Practice-management and EMR coverage</w:t>
      </w:r>
    </w:p>
    <w:p>
      <w:pPr>
        <w:spacing w:after="140"/>
      </w:pPr>
      <w:r>
        <w:rPr>
          <w:i w:val="0"/>
          <w:color w:val="142A33"/>
          <w:sz w:val="20"/>
        </w:rPr>
        <w:t>This is the widest gap between the two products. ScaleNexus routes through an adapter seam with a machine-readable capability matrix per practice-management system, so the platform knows — per clinic — which AI functions the connected system can actually support before a workflow is allowed to run.</w:t>
      </w:r>
    </w:p>
    <w:p>
      <w:pPr>
        <w:spacing w:before="260" w:after="80"/>
      </w:pPr>
      <w:r>
        <w:rPr>
          <w:b/>
          <w:color w:val="0B6A61"/>
          <w:sz w:val="22"/>
        </w:rPr>
        <w:t>2.1 Systems reachable today</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Capability</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Practice-management systems covered by the capability matrix</w:t>
            </w:r>
          </w:p>
        </w:tc>
        <w:tc>
          <w:tcPr>
            <w:tcW w:type="dxa" w:w="4104"/>
          </w:tcPr>
          <w:p>
            <w:pPr>
              <w:spacing w:after="40" w:before="40"/>
            </w:pPr>
            <w:r/>
            <w:r>
              <w:rPr>
                <w:rFonts w:ascii="Calibri" w:hAnsi="Calibri"/>
                <w:b w:val="0"/>
                <w:color w:val="142A33"/>
                <w:sz w:val="18"/>
              </w:rPr>
              <w:t>17</w:t>
            </w:r>
          </w:p>
        </w:tc>
        <w:tc>
          <w:tcPr>
            <w:tcW w:type="dxa" w:w="3528"/>
          </w:tcPr>
          <w:p>
            <w:pPr>
              <w:spacing w:after="40" w:before="40"/>
            </w:pPr>
            <w:r/>
            <w:r>
              <w:rPr>
                <w:rFonts w:ascii="Calibri" w:hAnsi="Calibri"/>
                <w:b w:val="0"/>
                <w:color w:val="142A33"/>
                <w:sz w:val="18"/>
              </w:rPr>
              <w:t>3 named publicly (Dentrix, Eaglesoft, Open Dental) + “other leading PMS”</w:t>
            </w:r>
          </w:p>
        </w:tc>
      </w:tr>
      <w:tr>
        <w:tc>
          <w:tcPr>
            <w:tcW w:type="dxa" w:w="2304"/>
            <w:shd w:val="clear" w:fill="F1F4F3"/>
          </w:tcPr>
          <w:p>
            <w:pPr>
              <w:spacing w:after="40" w:before="40"/>
            </w:pPr>
            <w:r/>
            <w:r>
              <w:rPr>
                <w:rFonts w:ascii="Calibri" w:hAnsi="Calibri"/>
                <w:b/>
                <w:color w:val="142A33"/>
                <w:sz w:val="18"/>
              </w:rPr>
              <w:t>Named systems</w:t>
            </w:r>
          </w:p>
        </w:tc>
        <w:tc>
          <w:tcPr>
            <w:tcW w:type="dxa" w:w="4104"/>
            <w:shd w:val="clear" w:fill="F1F4F3"/>
          </w:tcPr>
          <w:p>
            <w:pPr>
              <w:spacing w:after="40" w:before="40"/>
            </w:pPr>
            <w:r/>
            <w:r>
              <w:rPr>
                <w:rFonts w:ascii="Calibri" w:hAnsi="Calibri"/>
                <w:b w:val="0"/>
                <w:color w:val="142A33"/>
                <w:sz w:val="18"/>
              </w:rPr>
              <w:t>Athena · Cloud9 · Curve · Denticon · Dentrix · Dentrix Ascend · Dentrix Enterprise · Dolphin · DrChrono · Eaglesoft · eClinicalWorks · ModMed · NextGen Office · Open Dental · Orthotrac Local · Practiceworks · QSI Dental Web</w:t>
            </w:r>
          </w:p>
        </w:tc>
        <w:tc>
          <w:tcPr>
            <w:tcW w:type="dxa" w:w="3528"/>
            <w:shd w:val="clear" w:fill="F1F4F3"/>
          </w:tcPr>
          <w:p>
            <w:pPr>
              <w:spacing w:after="40" w:before="40"/>
            </w:pPr>
            <w:r/>
            <w:r>
              <w:rPr>
                <w:rFonts w:ascii="Calibri" w:hAnsi="Calibri"/>
                <w:b w:val="0"/>
                <w:color w:val="142A33"/>
                <w:sz w:val="18"/>
              </w:rPr>
              <w:t>Dentrix · Eaglesoft · Open Dental</w:t>
            </w:r>
          </w:p>
        </w:tc>
      </w:tr>
      <w:tr>
        <w:tc>
          <w:tcPr>
            <w:tcW w:type="dxa" w:w="2304"/>
          </w:tcPr>
          <w:p>
            <w:pPr>
              <w:spacing w:after="40" w:before="40"/>
            </w:pPr>
            <w:r/>
            <w:r>
              <w:rPr>
                <w:rFonts w:ascii="Calibri" w:hAnsi="Calibri"/>
                <w:b/>
                <w:color w:val="142A33"/>
                <w:sz w:val="18"/>
              </w:rPr>
              <w:t>Second, independent PMS integration path</w:t>
            </w:r>
          </w:p>
        </w:tc>
        <w:tc>
          <w:tcPr>
            <w:tcW w:type="dxa" w:w="4104"/>
          </w:tcPr>
          <w:p>
            <w:pPr>
              <w:spacing w:after="40" w:before="40"/>
            </w:pPr>
            <w:r/>
            <w:r>
              <w:rPr>
                <w:rFonts w:ascii="Calibri" w:hAnsi="Calibri"/>
                <w:b w:val="0"/>
                <w:color w:val="142A33"/>
                <w:sz w:val="18"/>
              </w:rPr>
              <w:t>Yes — a direct GoTracker Synchronizer adapter alongside the NexHealth universal layer, so the platform is not single-vendor dependent</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Runs with no PMS connected at all</w:t>
            </w:r>
          </w:p>
        </w:tc>
        <w:tc>
          <w:tcPr>
            <w:tcW w:type="dxa" w:w="4104"/>
            <w:shd w:val="clear" w:fill="F1F4F3"/>
          </w:tcPr>
          <w:p>
            <w:pPr>
              <w:spacing w:after="40" w:before="40"/>
            </w:pPr>
            <w:r/>
            <w:r>
              <w:rPr>
                <w:rFonts w:ascii="Calibri" w:hAnsi="Calibri"/>
                <w:b w:val="0"/>
                <w:color w:val="142A33"/>
                <w:sz w:val="18"/>
              </w:rPr>
              <w:t>Yes — a first-class no-PMS mode: the voice agent, transcripts, tagging, callback queue, SMS and contact management all work with zero integration</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Total distinct deployment configurations</w:t>
            </w:r>
          </w:p>
        </w:tc>
        <w:tc>
          <w:tcPr>
            <w:tcW w:type="dxa" w:w="4104"/>
          </w:tcPr>
          <w:p>
            <w:pPr>
              <w:spacing w:after="40" w:before="40"/>
            </w:pPr>
            <w:r/>
            <w:r>
              <w:rPr>
                <w:rFonts w:ascii="Calibri" w:hAnsi="Calibri"/>
                <w:b w:val="0"/>
                <w:color w:val="142A33"/>
                <w:sz w:val="18"/>
              </w:rPr>
              <w:t>19 (17 PMS + GoTracker + no-PMS)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Per-system capability gating</w:t>
            </w:r>
          </w:p>
        </w:tc>
        <w:tc>
          <w:tcPr>
            <w:tcW w:type="dxa" w:w="4104"/>
            <w:shd w:val="clear" w:fill="F1F4F3"/>
          </w:tcPr>
          <w:p>
            <w:pPr>
              <w:spacing w:after="40" w:before="40"/>
            </w:pPr>
            <w:r/>
            <w:r>
              <w:rPr>
                <w:rFonts w:ascii="Calibri" w:hAnsi="Calibri"/>
                <w:b w:val="0"/>
                <w:color w:val="142A33"/>
                <w:sz w:val="18"/>
              </w:rPr>
              <w:t>Yes — every AI skill is enabled or blocked per clinic from a matrix derived from the real per-PMS API support tables</w:t>
            </w:r>
          </w:p>
        </w:tc>
        <w:tc>
          <w:tcPr>
            <w:tcW w:type="dxa" w:w="3528"/>
            <w:shd w:val="clear" w:fill="F1F4F3"/>
          </w:tcPr>
          <w:p>
            <w:pPr>
              <w:spacing w:after="40" w:before="40"/>
            </w:pPr>
            <w:r/>
            <w:r>
              <w:rPr>
                <w:rFonts w:ascii="Calibri" w:hAnsi="Calibri"/>
                <w:b w:val="0"/>
                <w:color w:val="142A33"/>
                <w:sz w:val="18"/>
              </w:rPr>
              <w:t>Not publicly documented</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fill="E8F0EE"/>
          </w:tcPr>
          <w:p>
            <w:pPr>
              <w:spacing w:before="100" w:after="40"/>
            </w:pPr>
            <w:r/>
            <w:r>
              <w:rPr>
                <w:b/>
                <w:color w:val="0B6A61"/>
                <w:sz w:val="18"/>
              </w:rPr>
              <w:t>WHY THE CAPABILITY MATRIX MATTERS COMMERCIALLY</w:t>
            </w:r>
          </w:p>
          <w:p>
            <w:pPr>
              <w:spacing w:after="100"/>
            </w:pPr>
            <w:r>
              <w:rPr>
                <w:color w:val="142A33"/>
                <w:sz w:val="19"/>
              </w:rPr>
              <w:t>A competitor built against one or three practice-management systems has to decline or silently degrade on the rest. ScaleNexus can quote a clinic on any of the 17, tell them up front exactly which AI capabilities their system supports, and start with the no-PMS mode on day one where no integration exists yet. That converts an integration blocker into a staged upgrade path.</w:t>
            </w:r>
          </w:p>
        </w:tc>
      </w:tr>
    </w:tbl>
    <w:p>
      <w:pPr>
        <w:spacing w:after="40"/>
      </w:pPr>
    </w:p>
    <w:p>
      <w:pPr>
        <w:spacing w:before="260" w:after="80"/>
      </w:pPr>
      <w:r>
        <w:rPr>
          <w:b/>
          <w:color w:val="0B6A61"/>
          <w:sz w:val="22"/>
        </w:rPr>
        <w:t>2.2 Beyond dental — planned</w:t>
      </w:r>
    </w:p>
    <w:p>
      <w:pPr>
        <w:spacing w:after="140"/>
      </w:pPr>
      <w:r>
        <w:rPr>
          <w:i w:val="0"/>
          <w:color w:val="142A33"/>
          <w:sz w:val="20"/>
        </w:rPr>
        <w:t>Extending the same adapter seam to a general-practice EMR and a CRM is a natural next step and is scoped below in section 8. Both are explicitly not built today.</w:t>
      </w:r>
    </w:p>
    <w:p>
      <w:pPr>
        <w:spacing w:before="400" w:after="160"/>
      </w:pPr>
      <w:r>
        <w:rPr>
          <w:b/>
          <w:color w:val="142A33"/>
          <w:sz w:val="30"/>
        </w:rPr>
        <w:t>3 · Inbound voice agent</w:t>
      </w:r>
    </w:p>
    <w:p>
      <w:pPr>
        <w:spacing w:after="140"/>
      </w:pPr>
      <w:r>
        <w:rPr>
          <w:i w:val="0"/>
          <w:color w:val="142A33"/>
          <w:sz w:val="20"/>
        </w:rPr>
        <w:t>Both products answer the practice's phone with a conversational agent that can reach the practice-management system in real time. The functional surface is comparable; the difference is in verification and safety controls.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Capability</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24/7 inbound call answering</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Yes</w:t>
            </w:r>
          </w:p>
        </w:tc>
      </w:tr>
      <w:tr>
        <w:tc>
          <w:tcPr>
            <w:tcW w:type="dxa" w:w="2304"/>
            <w:shd w:val="clear" w:fill="F1F4F3"/>
          </w:tcPr>
          <w:p>
            <w:pPr>
              <w:spacing w:after="40" w:before="40"/>
            </w:pPr>
            <w:r/>
            <w:r>
              <w:rPr>
                <w:rFonts w:ascii="Calibri" w:hAnsi="Calibri"/>
                <w:b/>
                <w:color w:val="142A33"/>
                <w:sz w:val="18"/>
              </w:rPr>
              <w:t>After-hours and overflow handling</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Patient lookup against the live PMS</w:t>
            </w:r>
          </w:p>
        </w:tc>
        <w:tc>
          <w:tcPr>
            <w:tcW w:type="dxa" w:w="4104"/>
          </w:tcPr>
          <w:p>
            <w:pPr>
              <w:spacing w:after="40" w:before="40"/>
            </w:pPr>
            <w:r/>
            <w:r>
              <w:rPr>
                <w:rFonts w:ascii="Calibri" w:hAnsi="Calibri"/>
                <w:b w:val="0"/>
                <w:color w:val="142A33"/>
                <w:sz w:val="18"/>
              </w:rPr>
              <w:t>Yes — with an identity gate requiring name plus date of birth or an exact phone/email match before any patient record is disclosed</w:t>
            </w:r>
          </w:p>
        </w:tc>
        <w:tc>
          <w:tcPr>
            <w:tcW w:type="dxa" w:w="3528"/>
          </w:tcPr>
          <w:p>
            <w:pPr>
              <w:spacing w:after="40" w:before="40"/>
            </w:pPr>
            <w:r/>
            <w:r>
              <w:rPr>
                <w:rFonts w:ascii="Calibri" w:hAnsi="Calibri"/>
                <w:b w:val="0"/>
                <w:color w:val="142A33"/>
                <w:sz w:val="18"/>
              </w:rPr>
              <w:t>Yes (gate not publicly documented)</w:t>
            </w:r>
          </w:p>
        </w:tc>
      </w:tr>
      <w:tr>
        <w:tc>
          <w:tcPr>
            <w:tcW w:type="dxa" w:w="2304"/>
            <w:shd w:val="clear" w:fill="F1F4F3"/>
          </w:tcPr>
          <w:p>
            <w:pPr>
              <w:spacing w:after="40" w:before="40"/>
            </w:pPr>
            <w:r/>
            <w:r>
              <w:rPr>
                <w:rFonts w:ascii="Calibri" w:hAnsi="Calibri"/>
                <w:b/>
                <w:color w:val="142A33"/>
                <w:sz w:val="18"/>
              </w:rPr>
              <w:t>Real-time slot search</w:t>
            </w:r>
          </w:p>
        </w:tc>
        <w:tc>
          <w:tcPr>
            <w:tcW w:type="dxa" w:w="4104"/>
            <w:shd w:val="clear" w:fill="F1F4F3"/>
          </w:tcPr>
          <w:p>
            <w:pPr>
              <w:spacing w:after="40" w:before="40"/>
            </w:pPr>
            <w:r/>
            <w:r>
              <w:rPr>
                <w:rFonts w:ascii="Calibri" w:hAnsi="Calibri"/>
                <w:b w:val="0"/>
                <w:color w:val="142A33"/>
                <w:sz w:val="18"/>
              </w:rPr>
              <w:t>Yes — PMS availability trimmed to each location's own operating hours, breaks and working windows before the agent offers times</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Booking written into the PMS</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Yes</w:t>
            </w:r>
          </w:p>
        </w:tc>
      </w:tr>
      <w:tr>
        <w:tc>
          <w:tcPr>
            <w:tcW w:type="dxa" w:w="2304"/>
            <w:shd w:val="clear" w:fill="F1F4F3"/>
          </w:tcPr>
          <w:p>
            <w:pPr>
              <w:spacing w:after="40" w:before="40"/>
            </w:pPr>
            <w:r/>
            <w:r>
              <w:rPr>
                <w:rFonts w:ascii="Calibri" w:hAnsi="Calibri"/>
                <w:b/>
                <w:color w:val="142A33"/>
                <w:sz w:val="18"/>
              </w:rPr>
              <w:t>Cancel · confirm · reschedule</w:t>
            </w:r>
          </w:p>
        </w:tc>
        <w:tc>
          <w:tcPr>
            <w:tcW w:type="dxa" w:w="4104"/>
            <w:shd w:val="clear" w:fill="F1F4F3"/>
          </w:tcPr>
          <w:p>
            <w:pPr>
              <w:spacing w:after="40" w:before="40"/>
            </w:pPr>
            <w:r/>
            <w:r>
              <w:rPr>
                <w:rFonts w:ascii="Calibri" w:hAnsi="Calibri"/>
                <w:b w:val="0"/>
                <w:color w:val="142A33"/>
                <w:sz w:val="18"/>
              </w:rPr>
              <w:t>Yes, including in-place reschedule where the PMS supports patching an existing appointment rather than book-new-then-cancel-old</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New patient registration into the PMS</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Insurance plan lookup</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Live call transfer to the right department</w:t>
            </w:r>
          </w:p>
        </w:tc>
        <w:tc>
          <w:tcPr>
            <w:tcW w:type="dxa" w:w="4104"/>
          </w:tcPr>
          <w:p>
            <w:pPr>
              <w:spacing w:after="40" w:before="40"/>
            </w:pPr>
            <w:r/>
            <w:r>
              <w:rPr>
                <w:rFonts w:ascii="Calibri" w:hAnsi="Calibri"/>
                <w:b w:val="0"/>
                <w:color w:val="142A33"/>
                <w:sz w:val="18"/>
              </w:rPr>
              <w:t>Yes — per-department transfer numbers per location</w:t>
            </w:r>
          </w:p>
        </w:tc>
        <w:tc>
          <w:tcPr>
            <w:tcW w:type="dxa" w:w="3528"/>
          </w:tcPr>
          <w:p>
            <w:pPr>
              <w:spacing w:after="40" w:before="40"/>
            </w:pPr>
            <w:r/>
            <w:r>
              <w:rPr>
                <w:rFonts w:ascii="Calibri" w:hAnsi="Calibri"/>
                <w:b w:val="0"/>
                <w:color w:val="142A33"/>
                <w:sz w:val="18"/>
              </w:rPr>
              <w:t>Yes (referral requests and call routing)</w:t>
            </w:r>
          </w:p>
        </w:tc>
      </w:tr>
      <w:tr>
        <w:tc>
          <w:tcPr>
            <w:tcW w:type="dxa" w:w="2304"/>
            <w:shd w:val="clear" w:fill="F1F4F3"/>
          </w:tcPr>
          <w:p>
            <w:pPr>
              <w:spacing w:after="40" w:before="40"/>
            </w:pPr>
            <w:r/>
            <w:r>
              <w:rPr>
                <w:rFonts w:ascii="Calibri" w:hAnsi="Calibri"/>
                <w:b/>
                <w:color w:val="142A33"/>
                <w:sz w:val="18"/>
              </w:rPr>
              <w:t>Duplicate-booking protection</w:t>
            </w:r>
          </w:p>
        </w:tc>
        <w:tc>
          <w:tcPr>
            <w:tcW w:type="dxa" w:w="4104"/>
            <w:shd w:val="clear" w:fill="F1F4F3"/>
          </w:tcPr>
          <w:p>
            <w:pPr>
              <w:spacing w:after="40" w:before="40"/>
            </w:pPr>
            <w:r/>
            <w:r>
              <w:rPr>
                <w:rFonts w:ascii="Calibri" w:hAnsi="Calibri"/>
                <w:b w:val="0"/>
                <w:color w:val="142A33"/>
                <w:sz w:val="18"/>
              </w:rPr>
              <w:t>Yes — every mutating agent action is idempotent on the call, the function and a hash of its arguments, so a provider retry replays the cached result instead of double-booking</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Agent functions exposed</w:t>
            </w:r>
          </w:p>
        </w:tc>
        <w:tc>
          <w:tcPr>
            <w:tcW w:type="dxa" w:w="4104"/>
          </w:tcPr>
          <w:p>
            <w:pPr>
              <w:spacing w:after="40" w:before="40"/>
            </w:pPr>
            <w:r/>
            <w:r>
              <w:rPr>
                <w:rFonts w:ascii="Calibri" w:hAnsi="Calibri"/>
                <w:b w:val="0"/>
                <w:color w:val="142A33"/>
                <w:sz w:val="18"/>
              </w:rPr>
              <w:t>15 (9 read, 6 write)</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Per-location agent binding</w:t>
            </w:r>
          </w:p>
        </w:tc>
        <w:tc>
          <w:tcPr>
            <w:tcW w:type="dxa" w:w="4104"/>
            <w:shd w:val="clear" w:fill="F1F4F3"/>
          </w:tcPr>
          <w:p>
            <w:pPr>
              <w:spacing w:after="40" w:before="40"/>
            </w:pPr>
            <w:r/>
            <w:r>
              <w:rPr>
                <w:rFonts w:ascii="Calibri" w:hAnsi="Calibri"/>
                <w:b w:val="0"/>
                <w:color w:val="142A33"/>
                <w:sz w:val="18"/>
              </w:rPr>
              <w:t>Yes — one agent per physical location, which determines the tenant, the PMS and the timezone for every call</w:t>
            </w:r>
          </w:p>
        </w:tc>
        <w:tc>
          <w:tcPr>
            <w:tcW w:type="dxa" w:w="3528"/>
            <w:shd w:val="clear" w:fill="F1F4F3"/>
          </w:tcPr>
          <w:p>
            <w:pPr>
              <w:spacing w:after="40" w:before="40"/>
            </w:pPr>
            <w:r/>
            <w:r>
              <w:rPr>
                <w:rFonts w:ascii="Calibri" w:hAnsi="Calibri"/>
                <w:b w:val="0"/>
                <w:color w:val="142A33"/>
                <w:sz w:val="18"/>
              </w:rPr>
              <w:t>Multi-location supported</w:t>
            </w:r>
          </w:p>
        </w:tc>
      </w:tr>
      <w:tr>
        <w:tc>
          <w:tcPr>
            <w:tcW w:type="dxa" w:w="2304"/>
          </w:tcPr>
          <w:p>
            <w:pPr>
              <w:spacing w:after="40" w:before="40"/>
            </w:pPr>
            <w:r/>
            <w:r>
              <w:rPr>
                <w:rFonts w:ascii="Calibri" w:hAnsi="Calibri"/>
                <w:b/>
                <w:color w:val="142A33"/>
                <w:sz w:val="18"/>
              </w:rPr>
              <w:t>Direct agent-function test harness</w:t>
            </w:r>
          </w:p>
        </w:tc>
        <w:tc>
          <w:tcPr>
            <w:tcW w:type="dxa" w:w="4104"/>
          </w:tcPr>
          <w:p>
            <w:pPr>
              <w:spacing w:after="40" w:before="40"/>
            </w:pPr>
            <w:r/>
            <w:r>
              <w:rPr>
                <w:rFonts w:ascii="Calibri" w:hAnsi="Calibri"/>
                <w:b w:val="0"/>
                <w:color w:val="142A33"/>
                <w:sz w:val="18"/>
              </w:rPr>
              <w:t>Yes — an operator can invoke any agent function against a real clinic through the same dispatch registry the live call uses, with writes behind two independent switches and disabled entirely in production</w:t>
            </w:r>
          </w:p>
        </w:tc>
        <w:tc>
          <w:tcPr>
            <w:tcW w:type="dxa" w:w="3528"/>
          </w:tcPr>
          <w:p>
            <w:pPr>
              <w:spacing w:after="40" w:before="40"/>
            </w:pPr>
            <w:r/>
            <w:r>
              <w:rPr>
                <w:rFonts w:ascii="Calibri" w:hAnsi="Calibri"/>
                <w:b w:val="0"/>
                <w:color w:val="142A33"/>
                <w:sz w:val="18"/>
              </w:rPr>
              <w:t>Not publicly documented</w:t>
            </w:r>
          </w:p>
        </w:tc>
      </w:tr>
    </w:tbl>
    <w:p>
      <w:pPr>
        <w:spacing w:after="40"/>
      </w:pPr>
    </w:p>
    <w:p>
      <w:pPr>
        <w:spacing w:before="400" w:after="160"/>
      </w:pPr>
      <w:r>
        <w:rPr>
          <w:b/>
          <w:color w:val="142A33"/>
          <w:sz w:val="30"/>
        </w:rPr>
        <w:t>4 · Outbound engagement</w:t>
      </w:r>
    </w:p>
    <w:p>
      <w:pPr>
        <w:spacing w:after="140"/>
      </w:pPr>
      <w:r>
        <w:rPr>
          <w:i w:val="0"/>
          <w:color w:val="142A33"/>
          <w:sz w:val="20"/>
        </w:rPr>
        <w:t>Arini publicly offers outbound confirmations and reactivation campaigns. ScaleNexus treats outbound as a general-purpose engine rather than a fixed set of campaign types, and runs three channels through one compliance chokepoint.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Capability</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Outbound voice calls</w:t>
            </w:r>
          </w:p>
        </w:tc>
        <w:tc>
          <w:tcPr>
            <w:tcW w:type="dxa" w:w="4104"/>
          </w:tcPr>
          <w:p>
            <w:pPr>
              <w:spacing w:after="40" w:before="40"/>
            </w:pPr>
            <w:r/>
            <w:r>
              <w:rPr>
                <w:rFonts w:ascii="Calibri" w:hAnsi="Calibri"/>
                <w:b w:val="0"/>
                <w:color w:val="142A33"/>
                <w:sz w:val="18"/>
              </w:rPr>
              <w:t>Yes — workflow-driven, with outcome polling as a repair path for missed provider webhooks</w:t>
            </w:r>
          </w:p>
        </w:tc>
        <w:tc>
          <w:tcPr>
            <w:tcW w:type="dxa" w:w="3528"/>
          </w:tcPr>
          <w:p>
            <w:pPr>
              <w:spacing w:after="40" w:before="40"/>
            </w:pPr>
            <w:r/>
            <w:r>
              <w:rPr>
                <w:rFonts w:ascii="Calibri" w:hAnsi="Calibri"/>
                <w:b w:val="0"/>
                <w:color w:val="142A33"/>
                <w:sz w:val="18"/>
              </w:rPr>
              <w:t>Yes</w:t>
            </w:r>
          </w:p>
        </w:tc>
      </w:tr>
      <w:tr>
        <w:tc>
          <w:tcPr>
            <w:tcW w:type="dxa" w:w="2304"/>
            <w:shd w:val="clear" w:fill="F1F4F3"/>
          </w:tcPr>
          <w:p>
            <w:pPr>
              <w:spacing w:after="40" w:before="40"/>
            </w:pPr>
            <w:r/>
            <w:r>
              <w:rPr>
                <w:rFonts w:ascii="Calibri" w:hAnsi="Calibri"/>
                <w:b/>
                <w:color w:val="142A33"/>
                <w:sz w:val="18"/>
              </w:rPr>
              <w:t>Outbound SMS</w:t>
            </w:r>
          </w:p>
        </w:tc>
        <w:tc>
          <w:tcPr>
            <w:tcW w:type="dxa" w:w="4104"/>
            <w:shd w:val="clear" w:fill="F1F4F3"/>
          </w:tcPr>
          <w:p>
            <w:pPr>
              <w:spacing w:after="40" w:before="40"/>
            </w:pPr>
            <w:r/>
            <w:r>
              <w:rPr>
                <w:rFonts w:ascii="Calibri" w:hAnsi="Calibri"/>
                <w:b w:val="0"/>
                <w:color w:val="142A33"/>
                <w:sz w:val="18"/>
              </w:rPr>
              <w:t>Yes — sent only from the location's own verified sender number</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Outbound email</w:t>
            </w:r>
          </w:p>
        </w:tc>
        <w:tc>
          <w:tcPr>
            <w:tcW w:type="dxa" w:w="4104"/>
          </w:tcPr>
          <w:p>
            <w:pPr>
              <w:spacing w:after="40" w:before="40"/>
            </w:pPr>
            <w:r/>
            <w:r>
              <w:rPr>
                <w:rFonts w:ascii="Calibri" w:hAnsi="Calibri"/>
                <w:b w:val="0"/>
                <w:color w:val="142A33"/>
                <w:sz w:val="18"/>
              </w:rPr>
              <w:t>Yes — templates stored per tenant and rendered server-side, with per-clinic sending identities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Two-way SMS conversation handled by AI</w:t>
            </w:r>
          </w:p>
        </w:tc>
        <w:tc>
          <w:tcPr>
            <w:tcW w:type="dxa" w:w="4104"/>
            <w:shd w:val="clear" w:fill="F1F4F3"/>
          </w:tcPr>
          <w:p>
            <w:pPr>
              <w:spacing w:after="40" w:before="40"/>
            </w:pPr>
            <w:r/>
            <w:r>
              <w:rPr>
                <w:rFonts w:ascii="Calibri" w:hAnsi="Calibri"/>
                <w:b w:val="0"/>
                <w:color w:val="142A33"/>
                <w:sz w:val="18"/>
              </w:rPr>
              <w:t>Yes — a dedicated conversational SMS node, with intent parsing and a workflow that waits on the patient's reply</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Inbound patient replies resume the campaign</w:t>
            </w:r>
          </w:p>
        </w:tc>
        <w:tc>
          <w:tcPr>
            <w:tcW w:type="dxa" w:w="4104"/>
          </w:tcPr>
          <w:p>
            <w:pPr>
              <w:spacing w:after="40" w:before="40"/>
            </w:pPr>
            <w:r/>
            <w:r>
              <w:rPr>
                <w:rFonts w:ascii="Calibri" w:hAnsi="Calibri"/>
                <w:b w:val="0"/>
                <w:color w:val="142A33"/>
                <w:sz w:val="18"/>
              </w:rPr>
              <w:t>Yes — an SMS or signed email reply is itself a trigger, so the loop closes without a human</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Appointment reminders and confirmations</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Recall / reactivation of overdue patients</w:t>
            </w:r>
          </w:p>
        </w:tc>
        <w:tc>
          <w:tcPr>
            <w:tcW w:type="dxa" w:w="4104"/>
          </w:tcPr>
          <w:p>
            <w:pPr>
              <w:spacing w:after="40" w:before="40"/>
            </w:pPr>
            <w:r/>
            <w:r>
              <w:rPr>
                <w:rFonts w:ascii="Calibri" w:hAnsi="Calibri"/>
                <w:b w:val="0"/>
                <w:color w:val="142A33"/>
                <w:sz w:val="18"/>
              </w:rPr>
              <w:t>Yes — a recurring recall scan, refused for a system that cannot prove its appointment history is fully synced</w:t>
            </w:r>
          </w:p>
        </w:tc>
        <w:tc>
          <w:tcPr>
            <w:tcW w:type="dxa" w:w="3528"/>
          </w:tcPr>
          <w:p>
            <w:pPr>
              <w:spacing w:after="40" w:before="40"/>
            </w:pPr>
            <w:r/>
            <w:r>
              <w:rPr>
                <w:rFonts w:ascii="Calibri" w:hAnsi="Calibri"/>
                <w:b w:val="0"/>
                <w:color w:val="142A33"/>
                <w:sz w:val="18"/>
              </w:rPr>
              <w:t>Yes</w:t>
            </w:r>
          </w:p>
        </w:tc>
      </w:tr>
      <w:tr>
        <w:tc>
          <w:tcPr>
            <w:tcW w:type="dxa" w:w="2304"/>
            <w:shd w:val="clear" w:fill="F1F4F3"/>
          </w:tcPr>
          <w:p>
            <w:pPr>
              <w:spacing w:after="40" w:before="40"/>
            </w:pPr>
            <w:r/>
            <w:r>
              <w:rPr>
                <w:rFonts w:ascii="Calibri" w:hAnsi="Calibri"/>
                <w:b/>
                <w:color w:val="142A33"/>
                <w:sz w:val="18"/>
              </w:rPr>
              <w:t>Unscheduled treatment follow-up</w:t>
            </w:r>
          </w:p>
        </w:tc>
        <w:tc>
          <w:tcPr>
            <w:tcW w:type="dxa" w:w="4104"/>
            <w:shd w:val="clear" w:fill="F1F4F3"/>
          </w:tcPr>
          <w:p>
            <w:pPr>
              <w:spacing w:after="40" w:before="40"/>
            </w:pPr>
            <w:r/>
            <w:r>
              <w:rPr>
                <w:rFonts w:ascii="Calibri" w:hAnsi="Calibri"/>
                <w:b w:val="0"/>
                <w:color w:val="142A33"/>
                <w:sz w:val="18"/>
              </w:rPr>
              <w:t>Yes — treatment-plan reads are capability-gated per PMS</w:t>
            </w:r>
          </w:p>
        </w:tc>
        <w:tc>
          <w:tcPr>
            <w:tcW w:type="dxa" w:w="3528"/>
            <w:shd w:val="clear" w:fill="F1F4F3"/>
          </w:tcPr>
          <w:p>
            <w:pPr>
              <w:spacing w:after="40" w:before="40"/>
            </w:pPr>
            <w:r/>
            <w:r>
              <w:rPr>
                <w:rFonts w:ascii="Calibri" w:hAnsi="Calibri"/>
                <w:b w:val="0"/>
                <w:color w:val="142A33"/>
                <w:sz w:val="18"/>
              </w:rPr>
              <w:t>Yes (advertised)</w:t>
            </w:r>
          </w:p>
        </w:tc>
      </w:tr>
      <w:tr>
        <w:tc>
          <w:tcPr>
            <w:tcW w:type="dxa" w:w="2304"/>
          </w:tcPr>
          <w:p>
            <w:pPr>
              <w:spacing w:after="40" w:before="40"/>
            </w:pPr>
            <w:r/>
            <w:r>
              <w:rPr>
                <w:rFonts w:ascii="Calibri" w:hAnsi="Calibri"/>
                <w:b/>
                <w:color w:val="142A33"/>
                <w:sz w:val="18"/>
              </w:rPr>
              <w:t>Lead capture from paid social and forms</w:t>
            </w:r>
          </w:p>
        </w:tc>
        <w:tc>
          <w:tcPr>
            <w:tcW w:type="dxa" w:w="4104"/>
          </w:tcPr>
          <w:p>
            <w:pPr>
              <w:spacing w:after="40" w:before="40"/>
            </w:pPr>
            <w:r/>
            <w:r>
              <w:rPr>
                <w:rFonts w:ascii="Calibri" w:hAnsi="Calibri"/>
                <w:b w:val="0"/>
                <w:color w:val="142A33"/>
                <w:sz w:val="18"/>
              </w:rPr>
              <w:t>Yes — native Meta Lead Ads and Typeform integrations, with reconciliation sweeps for submissions the provider never delivered</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Patient self-service links</w:t>
            </w:r>
          </w:p>
        </w:tc>
        <w:tc>
          <w:tcPr>
            <w:tcW w:type="dxa" w:w="4104"/>
            <w:shd w:val="clear" w:fill="F1F4F3"/>
          </w:tcPr>
          <w:p>
            <w:pPr>
              <w:spacing w:after="40" w:before="40"/>
            </w:pPr>
            <w:r/>
            <w:r>
              <w:rPr>
                <w:rFonts w:ascii="Calibri" w:hAnsi="Calibri"/>
                <w:b w:val="0"/>
                <w:color w:val="142A33"/>
                <w:sz w:val="18"/>
              </w:rPr>
              <w:t>Yes — signed booking, cancel and registration links that need no patient login</w:t>
            </w:r>
          </w:p>
        </w:tc>
        <w:tc>
          <w:tcPr>
            <w:tcW w:type="dxa" w:w="3528"/>
            <w:shd w:val="clear" w:fill="F1F4F3"/>
          </w:tcPr>
          <w:p>
            <w:pPr>
              <w:spacing w:after="40" w:before="40"/>
            </w:pPr>
            <w:r/>
            <w:r>
              <w:rPr>
                <w:rFonts w:ascii="Calibri" w:hAnsi="Calibri"/>
                <w:b w:val="0"/>
                <w:color w:val="142A33"/>
                <w:sz w:val="18"/>
              </w:rPr>
              <w:t>Online scheduling</w:t>
            </w:r>
          </w:p>
        </w:tc>
      </w:tr>
      <w:tr>
        <w:tc>
          <w:tcPr>
            <w:tcW w:type="dxa" w:w="2304"/>
          </w:tcPr>
          <w:p>
            <w:pPr>
              <w:spacing w:after="40" w:before="40"/>
            </w:pPr>
            <w:r/>
            <w:r>
              <w:rPr>
                <w:rFonts w:ascii="Calibri" w:hAnsi="Calibri"/>
                <w:b/>
                <w:color w:val="142A33"/>
                <w:sz w:val="18"/>
              </w:rPr>
              <w:t>Campaign audience building</w:t>
            </w:r>
          </w:p>
        </w:tc>
        <w:tc>
          <w:tcPr>
            <w:tcW w:type="dxa" w:w="4104"/>
          </w:tcPr>
          <w:p>
            <w:pPr>
              <w:spacing w:after="40" w:before="40"/>
            </w:pPr>
            <w:r/>
            <w:r>
              <w:rPr>
                <w:rFonts w:ascii="Calibri" w:hAnsi="Calibri"/>
                <w:b w:val="0"/>
                <w:color w:val="142A33"/>
                <w:sz w:val="18"/>
              </w:rPr>
              <w:t>Yes — segment filters with preview, sample and exclusion rules before a campaign is enrolled</w:t>
            </w:r>
          </w:p>
        </w:tc>
        <w:tc>
          <w:tcPr>
            <w:tcW w:type="dxa" w:w="3528"/>
          </w:tcPr>
          <w:p>
            <w:pPr>
              <w:spacing w:after="40" w:before="40"/>
            </w:pPr>
            <w:r/>
            <w:r>
              <w:rPr>
                <w:rFonts w:ascii="Calibri" w:hAnsi="Calibri"/>
                <w:b w:val="0"/>
                <w:color w:val="142A33"/>
                <w:sz w:val="18"/>
              </w:rPr>
              <w:t>Not publicly documented</w:t>
            </w:r>
          </w:p>
        </w:tc>
      </w:tr>
    </w:tbl>
    <w:p>
      <w:pPr>
        <w:spacing w:after="40"/>
      </w:pPr>
    </w:p>
    <w:p>
      <w:pPr>
        <w:spacing w:before="400" w:after="160"/>
      </w:pPr>
      <w:r>
        <w:rPr>
          <w:b/>
          <w:color w:val="142A33"/>
          <w:sz w:val="30"/>
        </w:rPr>
        <w:t>5 · Workflow and automation engine</w:t>
      </w:r>
    </w:p>
    <w:p>
      <w:pPr>
        <w:spacing w:after="140"/>
      </w:pPr>
      <w:r>
        <w:rPr>
          <w:i w:val="0"/>
          <w:color w:val="142A33"/>
          <w:sz w:val="20"/>
        </w:rPr>
        <w:t>This is the second major structural difference. Arini's published automation is a set of productised behaviours plus Zapier for anything else. ScaleNexus ships a visual workflow engine in which the clinic composes its own automation from typed nodes, publishes it as an immutable version, and inspects every execution step-by-step afterwards.</w:t>
      </w:r>
    </w:p>
    <w:p>
      <w:pPr>
        <w:spacing w:before="260" w:after="80"/>
      </w:pPr>
      <w:r>
        <w:rPr>
          <w:b/>
          <w:color w:val="0B6A61"/>
          <w:sz w:val="22"/>
        </w:rPr>
        <w:t>5.1 Engine capabilities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Capability</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Visual workflow builder for clinic staff</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Trigger types</w:t>
            </w:r>
          </w:p>
        </w:tc>
        <w:tc>
          <w:tcPr>
            <w:tcW w:type="dxa" w:w="4104"/>
            <w:shd w:val="clear" w:fill="F1F4F3"/>
          </w:tcPr>
          <w:p>
            <w:pPr>
              <w:spacing w:after="40" w:before="40"/>
            </w:pPr>
            <w:r/>
            <w:r>
              <w:rPr>
                <w:rFonts w:ascii="Calibri" w:hAnsi="Calibri"/>
                <w:b w:val="0"/>
                <w:color w:val="142A33"/>
                <w:sz w:val="18"/>
              </w:rPr>
              <w:t>11</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Node types</w:t>
            </w:r>
          </w:p>
        </w:tc>
        <w:tc>
          <w:tcPr>
            <w:tcW w:type="dxa" w:w="4104"/>
          </w:tcPr>
          <w:p>
            <w:pPr>
              <w:spacing w:after="40" w:before="40"/>
            </w:pPr>
            <w:r/>
            <w:r>
              <w:rPr>
                <w:rFonts w:ascii="Calibri" w:hAnsi="Calibri"/>
                <w:b w:val="0"/>
                <w:color w:val="142A33"/>
                <w:sz w:val="18"/>
              </w:rPr>
              <w:t>19</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Immutable published versions</w:t>
            </w:r>
          </w:p>
        </w:tc>
        <w:tc>
          <w:tcPr>
            <w:tcW w:type="dxa" w:w="4104"/>
            <w:shd w:val="clear" w:fill="F1F4F3"/>
          </w:tcPr>
          <w:p>
            <w:pPr>
              <w:spacing w:after="40" w:before="40"/>
            </w:pPr>
            <w:r/>
            <w:r>
              <w:rPr>
                <w:rFonts w:ascii="Calibri" w:hAnsi="Calibri"/>
                <w:b w:val="0"/>
                <w:color w:val="142A33"/>
                <w:sz w:val="18"/>
              </w:rPr>
              <w:t>Yes — every run records the exact version it executed, so a run can be replayed against the graph as it was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Pre-publish validation</w:t>
            </w:r>
          </w:p>
        </w:tc>
        <w:tc>
          <w:tcPr>
            <w:tcW w:type="dxa" w:w="4104"/>
          </w:tcPr>
          <w:p>
            <w:pPr>
              <w:spacing w:after="40" w:before="40"/>
            </w:pPr>
            <w:r/>
            <w:r>
              <w:rPr>
                <w:rFonts w:ascii="Calibri" w:hAnsi="Calibri"/>
                <w:b w:val="0"/>
                <w:color w:val="142A33"/>
                <w:sz w:val="18"/>
              </w:rPr>
              <w:t>Yes — publish fails closed on duplicate node ids, missing edge targets, unsupported capabilities, reachable cycles and paths that cannot terminate; every error names the offending node</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Dry run before going live</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Per-step execution trace</w:t>
            </w:r>
          </w:p>
        </w:tc>
        <w:tc>
          <w:tcPr>
            <w:tcW w:type="dxa" w:w="4104"/>
          </w:tcPr>
          <w:p>
            <w:pPr>
              <w:spacing w:after="40" w:before="40"/>
            </w:pPr>
            <w:r/>
            <w:r>
              <w:rPr>
                <w:rFonts w:ascii="Calibri" w:hAnsi="Calibri"/>
                <w:b w:val="0"/>
                <w:color w:val="142A33"/>
                <w:sz w:val="18"/>
              </w:rPr>
              <w:t>Yes — input and output snapshot per attempt with patient identifiers redacted, plus retries, duration, error and the traversed path</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A/B testing inside a workflow</w:t>
            </w:r>
          </w:p>
        </w:tc>
        <w:tc>
          <w:tcPr>
            <w:tcW w:type="dxa" w:w="4104"/>
            <w:shd w:val="clear" w:fill="F1F4F3"/>
          </w:tcPr>
          <w:p>
            <w:pPr>
              <w:spacing w:after="40" w:before="40"/>
            </w:pPr>
            <w:r/>
            <w:r>
              <w:rPr>
                <w:rFonts w:ascii="Calibri" w:hAnsi="Calibri"/>
                <w:b w:val="0"/>
                <w:color w:val="142A33"/>
                <w:sz w:val="18"/>
              </w:rPr>
              <w:t>Yes — a split node with recorded assignment</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Multi-way branching and filter expressions</w:t>
            </w:r>
          </w:p>
        </w:tc>
        <w:tc>
          <w:tcPr>
            <w:tcW w:type="dxa" w:w="4104"/>
          </w:tcPr>
          <w:p>
            <w:pPr>
              <w:spacing w:after="40" w:before="40"/>
            </w:pPr>
            <w:r/>
            <w:r>
              <w:rPr>
                <w:rFonts w:ascii="Calibri" w:hAnsi="Calibri"/>
                <w:b w:val="0"/>
                <w:color w:val="142A33"/>
                <w:sz w:val="18"/>
              </w:rPr>
              <w:t>Yes — condition and switch nodes with a filter-expression language</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AI decision step inside a workflow</w:t>
            </w:r>
          </w:p>
        </w:tc>
        <w:tc>
          <w:tcPr>
            <w:tcW w:type="dxa" w:w="4104"/>
            <w:shd w:val="clear" w:fill="F1F4F3"/>
          </w:tcPr>
          <w:p>
            <w:pPr>
              <w:spacing w:after="40" w:before="40"/>
            </w:pPr>
            <w:r/>
            <w:r>
              <w:rPr>
                <w:rFonts w:ascii="Calibri" w:hAnsi="Calibri"/>
                <w:b w:val="0"/>
                <w:color w:val="142A33"/>
                <w:sz w:val="18"/>
              </w:rPr>
              <w:t>Yes — an LLM node plus a JSON mapper node</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Durable timers</w:t>
            </w:r>
          </w:p>
        </w:tc>
        <w:tc>
          <w:tcPr>
            <w:tcW w:type="dxa" w:w="4104"/>
          </w:tcPr>
          <w:p>
            <w:pPr>
              <w:spacing w:after="40" w:before="40"/>
            </w:pPr>
            <w:r/>
            <w:r>
              <w:rPr>
                <w:rFonts w:ascii="Calibri" w:hAnsi="Calibri"/>
                <w:b w:val="0"/>
                <w:color w:val="142A33"/>
                <w:sz w:val="18"/>
              </w:rPr>
              <w:t>Yes — every wait becomes a database row claimed with a lease, so a crashed worker's step is re-dispatched rather than lost</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Third-party automation escape hatch</w:t>
            </w:r>
          </w:p>
        </w:tc>
        <w:tc>
          <w:tcPr>
            <w:tcW w:type="dxa" w:w="4104"/>
            <w:shd w:val="clear" w:fill="F1F4F3"/>
          </w:tcPr>
          <w:p>
            <w:pPr>
              <w:spacing w:after="40" w:before="40"/>
            </w:pPr>
            <w:r/>
            <w:r>
              <w:rPr>
                <w:rFonts w:ascii="Calibri" w:hAnsi="Calibri"/>
                <w:b w:val="0"/>
                <w:color w:val="142A33"/>
                <w:sz w:val="18"/>
              </w:rPr>
              <w:t>Not built — no Zapier or public webhook-out yet</w:t>
            </w:r>
          </w:p>
        </w:tc>
        <w:tc>
          <w:tcPr>
            <w:tcW w:type="dxa" w:w="3528"/>
            <w:shd w:val="clear" w:fill="F1F4F3"/>
          </w:tcPr>
          <w:p>
            <w:pPr>
              <w:spacing w:after="40" w:before="40"/>
            </w:pPr>
            <w:r/>
            <w:r>
              <w:rPr>
                <w:rFonts w:ascii="Calibri" w:hAnsi="Calibri"/>
                <w:b w:val="0"/>
                <w:color w:val="142A33"/>
                <w:sz w:val="18"/>
              </w:rPr>
              <w:t>Yes — Zapier, 9,000+ apps</w:t>
            </w:r>
          </w:p>
        </w:tc>
      </w:tr>
    </w:tbl>
    <w:p>
      <w:pPr>
        <w:spacing w:after="40"/>
      </w:pPr>
    </w:p>
    <w:p>
      <w:pPr>
        <w:spacing w:before="260" w:after="80"/>
      </w:pPr>
      <w:r>
        <w:rPr>
          <w:b/>
          <w:color w:val="0B6A61"/>
          <w:sz w:val="22"/>
        </w:rPr>
        <w:t>5.2 What the 11 triggers and 19 nodes actually are</w:t>
      </w:r>
    </w:p>
    <w:tbl>
      <w:tblPr>
        <w:tblStyle w:val="TableGrid"/>
        <w:tblW w:type="auto" w:w="0"/>
        <w:jc w:val="center"/>
        <w:tblLook w:firstColumn="1" w:firstRow="1" w:lastColumn="0" w:lastRow="0" w:noHBand="0" w:noVBand="1" w:val="04A0"/>
      </w:tblPr>
      <w:tblGrid>
        <w:gridCol w:w="4896"/>
        <w:gridCol w:w="4896"/>
      </w:tblGrid>
      <w:tr>
        <w:tc>
          <w:tcPr>
            <w:tcW w:type="dxa" w:w="4968"/>
            <w:shd w:val="clear" w:fill="0F2229"/>
          </w:tcPr>
          <w:p>
            <w:pPr>
              <w:spacing w:after="40" w:before="40"/>
            </w:pPr>
            <w:r/>
            <w:r>
              <w:rPr>
                <w:rFonts w:ascii="Calibri" w:hAnsi="Calibri"/>
                <w:b/>
                <w:color w:val="FFFFFF"/>
                <w:sz w:val="17"/>
              </w:rPr>
              <w:t>Triggers (11)</w:t>
            </w:r>
          </w:p>
        </w:tc>
        <w:tc>
          <w:tcPr>
            <w:tcW w:type="dxa" w:w="4968"/>
            <w:shd w:val="clear" w:fill="0F2229"/>
          </w:tcPr>
          <w:p>
            <w:pPr>
              <w:spacing w:after="40" w:before="40"/>
            </w:pPr>
            <w:r/>
            <w:r>
              <w:rPr>
                <w:rFonts w:ascii="Calibri" w:hAnsi="Calibri"/>
                <w:b/>
                <w:color w:val="FFFFFF"/>
                <w:sz w:val="17"/>
              </w:rPr>
              <w:t>Nodes (19)</w:t>
            </w:r>
          </w:p>
        </w:tc>
      </w:tr>
      <w:tr>
        <w:tc>
          <w:tcPr>
            <w:tcW w:type="dxa" w:w="4968"/>
          </w:tcPr>
          <w:p>
            <w:pPr>
              <w:spacing w:after="40" w:before="40"/>
            </w:pPr>
            <w:r/>
            <w:r>
              <w:rPr>
                <w:rFonts w:ascii="Calibri" w:hAnsi="Calibri"/>
                <w:b w:val="0"/>
                <w:color w:val="142A33"/>
                <w:sz w:val="17"/>
              </w:rPr>
              <w:t>appointment_offset — a set time before or after an appointment</w:t>
            </w:r>
          </w:p>
        </w:tc>
        <w:tc>
          <w:tcPr>
            <w:tcW w:type="dxa" w:w="4968"/>
          </w:tcPr>
          <w:p>
            <w:pPr>
              <w:spacing w:after="40" w:before="40"/>
            </w:pPr>
            <w:r/>
            <w:r>
              <w:rPr>
                <w:rFonts w:ascii="Calibri" w:hAnsi="Calibri"/>
                <w:b w:val="0"/>
                <w:color w:val="142A33"/>
                <w:sz w:val="17"/>
              </w:rPr>
              <w:t>send_sms · send_email · send_voice</w:t>
            </w:r>
          </w:p>
        </w:tc>
      </w:tr>
      <w:tr>
        <w:tc>
          <w:tcPr>
            <w:tcW w:type="dxa" w:w="4968"/>
            <w:shd w:val="clear" w:fill="F1F4F3"/>
          </w:tcPr>
          <w:p>
            <w:pPr>
              <w:spacing w:after="40" w:before="40"/>
            </w:pPr>
            <w:r/>
            <w:r>
              <w:rPr>
                <w:rFonts w:ascii="Calibri" w:hAnsi="Calibri"/>
                <w:b w:val="0"/>
                <w:color w:val="142A33"/>
                <w:sz w:val="17"/>
              </w:rPr>
              <w:t>appointment_state_changed — booked, cancelled, confirmed, completed</w:t>
            </w:r>
          </w:p>
        </w:tc>
        <w:tc>
          <w:tcPr>
            <w:tcW w:type="dxa" w:w="4968"/>
            <w:shd w:val="clear" w:fill="F1F4F3"/>
          </w:tcPr>
          <w:p>
            <w:pPr>
              <w:spacing w:after="40" w:before="40"/>
            </w:pPr>
            <w:r/>
            <w:r>
              <w:rPr>
                <w:rFonts w:ascii="Calibri" w:hAnsi="Calibri"/>
                <w:b w:val="0"/>
                <w:color w:val="142A33"/>
                <w:sz w:val="17"/>
              </w:rPr>
              <w:t>retell_sms_conversation — AI-handled two-way SMS</w:t>
            </w:r>
          </w:p>
        </w:tc>
      </w:tr>
      <w:tr>
        <w:tc>
          <w:tcPr>
            <w:tcW w:type="dxa" w:w="4968"/>
          </w:tcPr>
          <w:p>
            <w:pPr>
              <w:spacing w:after="40" w:before="40"/>
            </w:pPr>
            <w:r/>
            <w:r>
              <w:rPr>
                <w:rFonts w:ascii="Calibri" w:hAnsi="Calibri"/>
                <w:b w:val="0"/>
                <w:color w:val="142A33"/>
                <w:sz w:val="17"/>
              </w:rPr>
              <w:t>recall_scan — overdue hygiene and recall patients</w:t>
            </w:r>
          </w:p>
        </w:tc>
        <w:tc>
          <w:tcPr>
            <w:tcW w:type="dxa" w:w="4968"/>
          </w:tcPr>
          <w:p>
            <w:pPr>
              <w:spacing w:after="40" w:before="40"/>
            </w:pPr>
            <w:r/>
            <w:r>
              <w:rPr>
                <w:rFonts w:ascii="Calibri" w:hAnsi="Calibri"/>
                <w:b w:val="0"/>
                <w:color w:val="142A33"/>
                <w:sz w:val="17"/>
              </w:rPr>
              <w:t>wait · wait_for_sms_reply · drip</w:t>
            </w:r>
          </w:p>
        </w:tc>
      </w:tr>
      <w:tr>
        <w:tc>
          <w:tcPr>
            <w:tcW w:type="dxa" w:w="4968"/>
            <w:shd w:val="clear" w:fill="F1F4F3"/>
          </w:tcPr>
          <w:p>
            <w:pPr>
              <w:spacing w:after="40" w:before="40"/>
            </w:pPr>
            <w:r/>
            <w:r>
              <w:rPr>
                <w:rFonts w:ascii="Calibri" w:hAnsi="Calibri"/>
                <w:b w:val="0"/>
                <w:color w:val="142A33"/>
                <w:sz w:val="17"/>
              </w:rPr>
              <w:t>patient_status_changed</w:t>
            </w:r>
          </w:p>
        </w:tc>
        <w:tc>
          <w:tcPr>
            <w:tcW w:type="dxa" w:w="4968"/>
            <w:shd w:val="clear" w:fill="F1F4F3"/>
          </w:tcPr>
          <w:p>
            <w:pPr>
              <w:spacing w:after="40" w:before="40"/>
            </w:pPr>
            <w:r/>
            <w:r>
              <w:rPr>
                <w:rFonts w:ascii="Calibri" w:hAnsi="Calibri"/>
                <w:b w:val="0"/>
                <w:color w:val="142A33"/>
                <w:sz w:val="17"/>
              </w:rPr>
              <w:t>condition · switch · split · exit</w:t>
            </w:r>
          </w:p>
        </w:tc>
      </w:tr>
      <w:tr>
        <w:tc>
          <w:tcPr>
            <w:tcW w:type="dxa" w:w="4968"/>
          </w:tcPr>
          <w:p>
            <w:pPr>
              <w:spacing w:after="40" w:before="40"/>
            </w:pPr>
            <w:r/>
            <w:r>
              <w:rPr>
                <w:rFonts w:ascii="Calibri" w:hAnsi="Calibri"/>
                <w:b w:val="0"/>
                <w:color w:val="142A33"/>
                <w:sz w:val="17"/>
              </w:rPr>
              <w:t>enquiry_received</w:t>
            </w:r>
          </w:p>
        </w:tc>
        <w:tc>
          <w:tcPr>
            <w:tcW w:type="dxa" w:w="4968"/>
          </w:tcPr>
          <w:p>
            <w:pPr>
              <w:spacing w:after="40" w:before="40"/>
            </w:pPr>
            <w:r/>
            <w:r>
              <w:rPr>
                <w:rFonts w:ascii="Calibri" w:hAnsi="Calibri"/>
                <w:b w:val="0"/>
                <w:color w:val="142A33"/>
                <w:sz w:val="17"/>
              </w:rPr>
              <w:t>book_appointment · update_appointment</w:t>
            </w:r>
          </w:p>
        </w:tc>
      </w:tr>
      <w:tr>
        <w:tc>
          <w:tcPr>
            <w:tcW w:type="dxa" w:w="4968"/>
            <w:shd w:val="clear" w:fill="F1F4F3"/>
          </w:tcPr>
          <w:p>
            <w:pPr>
              <w:spacing w:after="40" w:before="40"/>
            </w:pPr>
            <w:r/>
            <w:r>
              <w:rPr>
                <w:rFonts w:ascii="Calibri" w:hAnsi="Calibri"/>
                <w:b w:val="0"/>
                <w:color w:val="142A33"/>
                <w:sz w:val="17"/>
              </w:rPr>
              <w:t>form_submitted — Meta Lead Ads or Typeform</w:t>
            </w:r>
          </w:p>
        </w:tc>
        <w:tc>
          <w:tcPr>
            <w:tcW w:type="dxa" w:w="4968"/>
            <w:shd w:val="clear" w:fill="F1F4F3"/>
          </w:tcPr>
          <w:p>
            <w:pPr>
              <w:spacing w:after="40" w:before="40"/>
            </w:pPr>
            <w:r/>
            <w:r>
              <w:rPr>
                <w:rFonts w:ascii="Calibri" w:hAnsi="Calibri"/>
                <w:b w:val="0"/>
                <w:color w:val="142A33"/>
                <w:sz w:val="17"/>
              </w:rPr>
              <w:t>update_gotracker_appointment</w:t>
            </w:r>
          </w:p>
        </w:tc>
      </w:tr>
      <w:tr>
        <w:tc>
          <w:tcPr>
            <w:tcW w:type="dxa" w:w="4968"/>
          </w:tcPr>
          <w:p>
            <w:pPr>
              <w:spacing w:after="40" w:before="40"/>
            </w:pPr>
            <w:r/>
            <w:r>
              <w:rPr>
                <w:rFonts w:ascii="Calibri" w:hAnsi="Calibri"/>
                <w:b w:val="0"/>
                <w:color w:val="142A33"/>
                <w:sz w:val="17"/>
              </w:rPr>
              <w:t>callback_requested</w:t>
            </w:r>
          </w:p>
        </w:tc>
        <w:tc>
          <w:tcPr>
            <w:tcW w:type="dxa" w:w="4968"/>
          </w:tcPr>
          <w:p>
            <w:pPr>
              <w:spacing w:after="40" w:before="40"/>
            </w:pPr>
            <w:r/>
            <w:r>
              <w:rPr>
                <w:rFonts w:ascii="Calibri" w:hAnsi="Calibri"/>
                <w:b w:val="0"/>
                <w:color w:val="142A33"/>
                <w:sz w:val="17"/>
              </w:rPr>
              <w:t>booking_link · patient_registration</w:t>
            </w:r>
          </w:p>
        </w:tc>
      </w:tr>
      <w:tr>
        <w:tc>
          <w:tcPr>
            <w:tcW w:type="dxa" w:w="4968"/>
            <w:shd w:val="clear" w:fill="F1F4F3"/>
          </w:tcPr>
          <w:p>
            <w:pPr>
              <w:spacing w:after="40" w:before="40"/>
            </w:pPr>
            <w:r/>
            <w:r>
              <w:rPr>
                <w:rFonts w:ascii="Calibri" w:hAnsi="Calibri"/>
                <w:b w:val="0"/>
                <w:color w:val="142A33"/>
                <w:sz w:val="17"/>
              </w:rPr>
              <w:t>sms_reply · email_reply — a patient reply restarts the flow</w:t>
            </w:r>
          </w:p>
        </w:tc>
        <w:tc>
          <w:tcPr>
            <w:tcW w:type="dxa" w:w="4968"/>
            <w:shd w:val="clear" w:fill="F1F4F3"/>
          </w:tcPr>
          <w:p>
            <w:pPr>
              <w:spacing w:after="40" w:before="40"/>
            </w:pPr>
            <w:r/>
            <w:r>
              <w:rPr>
                <w:rFonts w:ascii="Calibri" w:hAnsi="Calibri"/>
                <w:b w:val="0"/>
                <w:color w:val="142A33"/>
                <w:sz w:val="17"/>
              </w:rPr>
              <w:t>update_patient_status</w:t>
            </w:r>
          </w:p>
        </w:tc>
      </w:tr>
      <w:tr>
        <w:tc>
          <w:tcPr>
            <w:tcW w:type="dxa" w:w="4968"/>
          </w:tcPr>
          <w:p>
            <w:pPr>
              <w:spacing w:after="40" w:before="40"/>
            </w:pPr>
            <w:r/>
            <w:r>
              <w:rPr>
                <w:rFonts w:ascii="Calibri" w:hAnsi="Calibri"/>
                <w:b w:val="0"/>
                <w:color w:val="142A33"/>
                <w:sz w:val="17"/>
              </w:rPr>
              <w:t>manual · bulk_import</w:t>
            </w:r>
          </w:p>
        </w:tc>
        <w:tc>
          <w:tcPr>
            <w:tcW w:type="dxa" w:w="4968"/>
          </w:tcPr>
          <w:p>
            <w:pPr>
              <w:spacing w:after="40" w:before="40"/>
            </w:pPr>
            <w:r/>
            <w:r>
              <w:rPr>
                <w:rFonts w:ascii="Calibri" w:hAnsi="Calibri"/>
                <w:b w:val="0"/>
                <w:color w:val="142A33"/>
                <w:sz w:val="17"/>
              </w:rPr>
              <w:t>llm · json_mapper</w:t>
            </w:r>
          </w:p>
        </w:tc>
      </w:tr>
    </w:tbl>
    <w:p>
      <w:pPr>
        <w:spacing w:after="40"/>
      </w:pPr>
    </w:p>
    <w:p>
      <w:pPr>
        <w:spacing w:before="400" w:after="160"/>
      </w:pPr>
      <w:r>
        <w:rPr>
          <w:b/>
          <w:color w:val="142A33"/>
          <w:sz w:val="30"/>
        </w:rPr>
        <w:t>6 · Compliance, security and multi-tenancy</w:t>
      </w:r>
    </w:p>
    <w:p>
      <w:pPr>
        <w:spacing w:after="140"/>
      </w:pPr>
      <w:r>
        <w:rPr>
          <w:i w:val="0"/>
          <w:color w:val="142A33"/>
          <w:sz w:val="20"/>
        </w:rPr>
        <w:t>None of this is visible in a demo, and all of it is what a DSO's security review asks about. It is the hardest part of the platform for a competitor to retrofit.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Control</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Database-enforced tenant isolation</w:t>
            </w:r>
          </w:p>
        </w:tc>
        <w:tc>
          <w:tcPr>
            <w:tcW w:type="dxa" w:w="4104"/>
          </w:tcPr>
          <w:p>
            <w:pPr>
              <w:spacing w:after="40" w:before="40"/>
            </w:pPr>
            <w:r/>
            <w:r>
              <w:rPr>
                <w:rFonts w:ascii="Calibri" w:hAnsi="Calibri"/>
                <w:b w:val="0"/>
                <w:color w:val="142A33"/>
                <w:sz w:val="18"/>
              </w:rPr>
              <w:t>Yes — row-level security on every table holding patient data, with the runtime database role unable to bypass it. A route that forgets to filter still cannot read another practice's data.</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Per-location data scoping</w:t>
            </w:r>
          </w:p>
        </w:tc>
        <w:tc>
          <w:tcPr>
            <w:tcW w:type="dxa" w:w="4104"/>
            <w:shd w:val="clear" w:fill="F1F4F3"/>
          </w:tcPr>
          <w:p>
            <w:pPr>
              <w:spacing w:after="40" w:before="40"/>
            </w:pPr>
            <w:r/>
            <w:r>
              <w:rPr>
                <w:rFonts w:ascii="Calibri" w:hAnsi="Calibri"/>
                <w:b w:val="0"/>
                <w:color w:val="142A33"/>
                <w:sz w:val="18"/>
              </w:rPr>
              <w:t>Yes — a location-scoped staff account sees only the contacts granted to its location; an ungranted record returns not-found rather than forbidden, so existence is not disclosed</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DSO / group oversight tier</w:t>
            </w:r>
          </w:p>
        </w:tc>
        <w:tc>
          <w:tcPr>
            <w:tcW w:type="dxa" w:w="4104"/>
          </w:tcPr>
          <w:p>
            <w:pPr>
              <w:spacing w:after="40" w:before="40"/>
            </w:pPr>
            <w:r/>
            <w:r>
              <w:rPr>
                <w:rFonts w:ascii="Calibri" w:hAnsi="Calibri"/>
                <w:b w:val="0"/>
                <w:color w:val="142A33"/>
                <w:sz w:val="18"/>
              </w:rPr>
              <w:t>Yes — a read-only group role spanning member practices, walled off from all patient data and every write route</w:t>
            </w:r>
          </w:p>
        </w:tc>
        <w:tc>
          <w:tcPr>
            <w:tcW w:type="dxa" w:w="3528"/>
          </w:tcPr>
          <w:p>
            <w:pPr>
              <w:spacing w:after="40" w:before="40"/>
            </w:pPr>
            <w:r/>
            <w:r>
              <w:rPr>
                <w:rFonts w:ascii="Calibri" w:hAnsi="Calibri"/>
                <w:b w:val="0"/>
                <w:color w:val="142A33"/>
                <w:sz w:val="18"/>
              </w:rPr>
              <w:t>Multi-location supported</w:t>
            </w:r>
          </w:p>
        </w:tc>
      </w:tr>
      <w:tr>
        <w:tc>
          <w:tcPr>
            <w:tcW w:type="dxa" w:w="2304"/>
            <w:shd w:val="clear" w:fill="F1F4F3"/>
          </w:tcPr>
          <w:p>
            <w:pPr>
              <w:spacing w:after="40" w:before="40"/>
            </w:pPr>
            <w:r/>
            <w:r>
              <w:rPr>
                <w:rFonts w:ascii="Calibri" w:hAnsi="Calibri"/>
                <w:b/>
                <w:color w:val="142A33"/>
                <w:sz w:val="18"/>
              </w:rPr>
              <w:t>Role model</w:t>
            </w:r>
          </w:p>
        </w:tc>
        <w:tc>
          <w:tcPr>
            <w:tcW w:type="dxa" w:w="4104"/>
            <w:shd w:val="clear" w:fill="F1F4F3"/>
          </w:tcPr>
          <w:p>
            <w:pPr>
              <w:spacing w:after="40" w:before="40"/>
            </w:pPr>
            <w:r/>
            <w:r>
              <w:rPr>
                <w:rFonts w:ascii="Calibri" w:hAnsi="Calibri"/>
                <w:b w:val="0"/>
                <w:color w:val="142A33"/>
                <w:sz w:val="18"/>
              </w:rPr>
              <w:t>5 roles: platform operator, institution admin, location admin, staff, group admin</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Multi-factor authentication</w:t>
            </w:r>
          </w:p>
        </w:tc>
        <w:tc>
          <w:tcPr>
            <w:tcW w:type="dxa" w:w="4104"/>
          </w:tcPr>
          <w:p>
            <w:pPr>
              <w:spacing w:after="40" w:before="40"/>
            </w:pPr>
            <w:r/>
            <w:r>
              <w:rPr>
                <w:rFonts w:ascii="Calibri" w:hAnsi="Calibri"/>
                <w:b w:val="0"/>
                <w:color w:val="142A33"/>
                <w:sz w:val="18"/>
              </w:rPr>
              <w:t>Yes — passkeys (WebAuthn), authenticator apps and recovery codes, mandatory for every dashboard role</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Patient data encrypted at column level</w:t>
            </w:r>
          </w:p>
        </w:tc>
        <w:tc>
          <w:tcPr>
            <w:tcW w:type="dxa" w:w="4104"/>
            <w:shd w:val="clear" w:fill="F1F4F3"/>
          </w:tcPr>
          <w:p>
            <w:pPr>
              <w:spacing w:after="40" w:before="40"/>
            </w:pPr>
            <w:r/>
            <w:r>
              <w:rPr>
                <w:rFonts w:ascii="Calibri" w:hAnsi="Calibri"/>
                <w:b w:val="0"/>
                <w:color w:val="142A33"/>
                <w:sz w:val="18"/>
              </w:rPr>
              <w:t>Yes — AES-256-GCM</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Append-only audit log</w:t>
            </w:r>
          </w:p>
        </w:tc>
        <w:tc>
          <w:tcPr>
            <w:tcW w:type="dxa" w:w="4104"/>
          </w:tcPr>
          <w:p>
            <w:pPr>
              <w:spacing w:after="40" w:before="40"/>
            </w:pPr>
            <w:r/>
            <w:r>
              <w:rPr>
                <w:rFonts w:ascii="Calibri" w:hAnsi="Calibri"/>
                <w:b w:val="0"/>
                <w:color w:val="142A33"/>
                <w:sz w:val="18"/>
              </w:rPr>
              <w:t>Yes — monthly-partitioned, and a failed audit write is treated as an incident with its own alarm rather than a warning</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Configurable retention windows</w:t>
            </w:r>
          </w:p>
        </w:tc>
        <w:tc>
          <w:tcPr>
            <w:tcW w:type="dxa" w:w="4104"/>
            <w:shd w:val="clear" w:fill="F1F4F3"/>
          </w:tcPr>
          <w:p>
            <w:pPr>
              <w:spacing w:after="40" w:before="40"/>
            </w:pPr>
            <w:r/>
            <w:r>
              <w:rPr>
                <w:rFonts w:ascii="Calibri" w:hAnsi="Calibri"/>
                <w:b w:val="0"/>
                <w:color w:val="142A33"/>
                <w:sz w:val="18"/>
              </w:rPr>
              <w:t>Yes — separate windows for clinical records, minors, recordings, message bodies, message metadata and notifications, enforced nightly</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Per-channel consent and do-not-contact</w:t>
            </w:r>
          </w:p>
        </w:tc>
        <w:tc>
          <w:tcPr>
            <w:tcW w:type="dxa" w:w="4104"/>
          </w:tcPr>
          <w:p>
            <w:pPr>
              <w:spacing w:after="40" w:before="40"/>
            </w:pPr>
            <w:r/>
            <w:r>
              <w:rPr>
                <w:rFonts w:ascii="Calibri" w:hAnsi="Calibri"/>
                <w:b w:val="0"/>
                <w:color w:val="142A33"/>
                <w:sz w:val="18"/>
              </w:rPr>
              <w:t>Yes — one enforcement gate every outbound message passes through, with the block reason recorded on the step</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Quiet hours with exceptions</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Keyword opt-out scoped correctly</w:t>
            </w:r>
          </w:p>
        </w:tc>
        <w:tc>
          <w:tcPr>
            <w:tcW w:type="dxa" w:w="4104"/>
          </w:tcPr>
          <w:p>
            <w:pPr>
              <w:spacing w:after="40" w:before="40"/>
            </w:pPr>
            <w:r/>
            <w:r>
              <w:rPr>
                <w:rFonts w:ascii="Calibri" w:hAnsi="Calibri"/>
                <w:b w:val="0"/>
                <w:color w:val="142A33"/>
                <w:sz w:val="18"/>
              </w:rPr>
              <w:t>Yes — STOP suppresses the receiving location only, and in the same transaction cancels that patient's active campaign, its pending timers and its message thread</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Failed-delivery capture and replay</w:t>
            </w:r>
          </w:p>
        </w:tc>
        <w:tc>
          <w:tcPr>
            <w:tcW w:type="dxa" w:w="4104"/>
            <w:shd w:val="clear" w:fill="F1F4F3"/>
          </w:tcPr>
          <w:p>
            <w:pPr>
              <w:spacing w:after="40" w:before="40"/>
            </w:pPr>
            <w:r/>
            <w:r>
              <w:rPr>
                <w:rFonts w:ascii="Calibri" w:hAnsi="Calibri"/>
                <w:b w:val="0"/>
                <w:color w:val="142A33"/>
                <w:sz w:val="18"/>
              </w:rPr>
              <w:t>Yes — an operator-visible queue with a replay path rather than silent drops</w:t>
            </w:r>
          </w:p>
        </w:tc>
        <w:tc>
          <w:tcPr>
            <w:tcW w:type="dxa" w:w="3528"/>
            <w:shd w:val="clear" w:fill="F1F4F3"/>
          </w:tcPr>
          <w:p>
            <w:pPr>
              <w:spacing w:after="40" w:before="40"/>
            </w:pPr>
            <w:r/>
            <w:r>
              <w:rPr>
                <w:rFonts w:ascii="Calibri" w:hAnsi="Calibri"/>
                <w:b w:val="0"/>
                <w:color w:val="142A33"/>
                <w:sz w:val="18"/>
              </w:rPr>
              <w:t>Not publicly documented</w:t>
            </w:r>
          </w:p>
        </w:tc>
      </w:tr>
    </w:tbl>
    <w:p>
      <w:pPr>
        <w:spacing w:after="40"/>
      </w:pPr>
    </w:p>
    <w:p>
      <w:pPr>
        <w:spacing w:before="400" w:after="160"/>
      </w:pPr>
      <w:r>
        <w:rPr>
          <w:b/>
          <w:color w:val="142A33"/>
          <w:sz w:val="30"/>
        </w:rPr>
        <w:t>7 · Reporting and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0F2229"/>
          </w:tcPr>
          <w:p>
            <w:pPr>
              <w:spacing w:after="40" w:before="40"/>
            </w:pPr>
            <w:r/>
            <w:r>
              <w:rPr>
                <w:rFonts w:ascii="Calibri" w:hAnsi="Calibri"/>
                <w:b/>
                <w:color w:val="FFFFFF"/>
                <w:sz w:val="17"/>
              </w:rPr>
              <w:t>Capability</w:t>
            </w:r>
          </w:p>
        </w:tc>
        <w:tc>
          <w:tcPr>
            <w:tcW w:type="dxa" w:w="4104"/>
            <w:shd w:val="clear" w:fill="0F2229"/>
          </w:tcPr>
          <w:p>
            <w:pPr>
              <w:spacing w:after="40" w:before="40"/>
            </w:pPr>
            <w:r/>
            <w:r>
              <w:rPr>
                <w:rFonts w:ascii="Calibri" w:hAnsi="Calibri"/>
                <w:b/>
                <w:color w:val="FFFFFF"/>
                <w:sz w:val="17"/>
              </w:rPr>
              <w:t>ScaleNexus</w:t>
            </w:r>
          </w:p>
        </w:tc>
        <w:tc>
          <w:tcPr>
            <w:tcW w:type="dxa" w:w="3528"/>
            <w:shd w:val="clear" w:fill="0F2229"/>
          </w:tcPr>
          <w:p>
            <w:pPr>
              <w:spacing w:after="40" w:before="40"/>
            </w:pPr>
            <w:r/>
            <w:r>
              <w:rPr>
                <w:rFonts w:ascii="Calibri" w:hAnsi="Calibri"/>
                <w:b/>
                <w:color w:val="FFFFFF"/>
                <w:sz w:val="17"/>
              </w:rPr>
              <w:t>Arini</w:t>
            </w:r>
          </w:p>
        </w:tc>
      </w:tr>
      <w:tr>
        <w:tc>
          <w:tcPr>
            <w:tcW w:type="dxa" w:w="2304"/>
          </w:tcPr>
          <w:p>
            <w:pPr>
              <w:spacing w:after="40" w:before="40"/>
            </w:pPr>
            <w:r/>
            <w:r>
              <w:rPr>
                <w:rFonts w:ascii="Calibri" w:hAnsi="Calibri"/>
                <w:b/>
                <w:color w:val="142A33"/>
                <w:sz w:val="18"/>
              </w:rPr>
              <w:t>Call volume and outcome dashboard</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Yes — “Watchtower”</w:t>
            </w:r>
          </w:p>
        </w:tc>
      </w:tr>
      <w:tr>
        <w:tc>
          <w:tcPr>
            <w:tcW w:type="dxa" w:w="2304"/>
            <w:shd w:val="clear" w:fill="F1F4F3"/>
          </w:tcPr>
          <w:p>
            <w:pPr>
              <w:spacing w:after="40" w:before="40"/>
            </w:pPr>
            <w:r/>
            <w:r>
              <w:rPr>
                <w:rFonts w:ascii="Calibri" w:hAnsi="Calibri"/>
                <w:b/>
                <w:color w:val="142A33"/>
                <w:sz w:val="18"/>
              </w:rPr>
              <w:t>Per-location performance</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Yes</w:t>
            </w:r>
          </w:p>
        </w:tc>
      </w:tr>
      <w:tr>
        <w:tc>
          <w:tcPr>
            <w:tcW w:type="dxa" w:w="2304"/>
          </w:tcPr>
          <w:p>
            <w:pPr>
              <w:spacing w:after="40" w:before="40"/>
            </w:pPr>
            <w:r/>
            <w:r>
              <w:rPr>
                <w:rFonts w:ascii="Calibri" w:hAnsi="Calibri"/>
                <w:b/>
                <w:color w:val="142A33"/>
                <w:sz w:val="18"/>
              </w:rPr>
              <w:t>Booking conversion reporting</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Yes — 68% cited publicly</w:t>
            </w:r>
          </w:p>
        </w:tc>
      </w:tr>
      <w:tr>
        <w:tc>
          <w:tcPr>
            <w:tcW w:type="dxa" w:w="2304"/>
            <w:shd w:val="clear" w:fill="F1F4F3"/>
          </w:tcPr>
          <w:p>
            <w:pPr>
              <w:spacing w:after="40" w:before="40"/>
            </w:pPr>
            <w:r/>
            <w:r>
              <w:rPr>
                <w:rFonts w:ascii="Calibri" w:hAnsi="Calibri"/>
                <w:b/>
                <w:color w:val="142A33"/>
                <w:sz w:val="18"/>
              </w:rPr>
              <w:t>Full transcript, summary and tags per call</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Yes (transcription)</w:t>
            </w:r>
          </w:p>
        </w:tc>
      </w:tr>
      <w:tr>
        <w:tc>
          <w:tcPr>
            <w:tcW w:type="dxa" w:w="2304"/>
          </w:tcPr>
          <w:p>
            <w:pPr>
              <w:spacing w:after="40" w:before="40"/>
            </w:pPr>
            <w:r/>
            <w:r>
              <w:rPr>
                <w:rFonts w:ascii="Calibri" w:hAnsi="Calibri"/>
                <w:b/>
                <w:color w:val="142A33"/>
                <w:sz w:val="18"/>
              </w:rPr>
              <w:t>Staff notes on a call</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Callback queue</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Custom fields extracted from call analysis</w:t>
            </w:r>
          </w:p>
        </w:tc>
        <w:tc>
          <w:tcPr>
            <w:tcW w:type="dxa" w:w="4104"/>
          </w:tcPr>
          <w:p>
            <w:pPr>
              <w:spacing w:after="40" w:before="40"/>
            </w:pPr>
            <w:r/>
            <w:r>
              <w:rPr>
                <w:rFonts w:ascii="Calibri" w:hAnsi="Calibri"/>
                <w:b w:val="0"/>
                <w:color w:val="142A33"/>
                <w:sz w:val="18"/>
              </w:rPr>
              <w:t>Yes — configurable per practice</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Campaign outcome analytics</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Usage and cost reporting per practice</w:t>
            </w:r>
          </w:p>
        </w:tc>
        <w:tc>
          <w:tcPr>
            <w:tcW w:type="dxa" w:w="4104"/>
          </w:tcPr>
          <w:p>
            <w:pPr>
              <w:spacing w:after="40" w:before="40"/>
            </w:pPr>
            <w:r/>
            <w:r>
              <w:rPr>
                <w:rFonts w:ascii="Calibri" w:hAnsi="Calibri"/>
                <w:b w:val="0"/>
                <w:color w:val="142A33"/>
                <w:sz w:val="18"/>
              </w:rPr>
              <w:t>Yes</w:t>
            </w:r>
          </w:p>
        </w:tc>
        <w:tc>
          <w:tcPr>
            <w:tcW w:type="dxa" w:w="3528"/>
          </w:tcPr>
          <w:p>
            <w:pPr>
              <w:spacing w:after="40" w:before="40"/>
            </w:pPr>
            <w:r/>
            <w:r>
              <w:rPr>
                <w:rFonts w:ascii="Calibri" w:hAnsi="Calibri"/>
                <w:b w:val="0"/>
                <w:color w:val="142A33"/>
                <w:sz w:val="18"/>
              </w:rPr>
              <w:t>Not publicly documented</w:t>
            </w:r>
          </w:p>
        </w:tc>
      </w:tr>
      <w:tr>
        <w:tc>
          <w:tcPr>
            <w:tcW w:type="dxa" w:w="2304"/>
            <w:shd w:val="clear" w:fill="F1F4F3"/>
          </w:tcPr>
          <w:p>
            <w:pPr>
              <w:spacing w:after="40" w:before="40"/>
            </w:pPr>
            <w:r/>
            <w:r>
              <w:rPr>
                <w:rFonts w:ascii="Calibri" w:hAnsi="Calibri"/>
                <w:b/>
                <w:color w:val="142A33"/>
                <w:sz w:val="18"/>
              </w:rPr>
              <w:t>Shared inbox for patient replies</w:t>
            </w:r>
          </w:p>
        </w:tc>
        <w:tc>
          <w:tcPr>
            <w:tcW w:type="dxa" w:w="4104"/>
            <w:shd w:val="clear" w:fill="F1F4F3"/>
          </w:tcPr>
          <w:p>
            <w:pPr>
              <w:spacing w:after="40" w:before="40"/>
            </w:pPr>
            <w:r/>
            <w:r>
              <w:rPr>
                <w:rFonts w:ascii="Calibri" w:hAnsi="Calibri"/>
                <w:b w:val="0"/>
                <w:color w:val="142A33"/>
                <w:sz w:val="18"/>
              </w:rPr>
              <w:t>Yes</w:t>
            </w:r>
          </w:p>
        </w:tc>
        <w:tc>
          <w:tcPr>
            <w:tcW w:type="dxa" w:w="3528"/>
            <w:shd w:val="clear" w:fill="F1F4F3"/>
          </w:tcPr>
          <w:p>
            <w:pPr>
              <w:spacing w:after="40" w:before="40"/>
            </w:pPr>
            <w:r/>
            <w:r>
              <w:rPr>
                <w:rFonts w:ascii="Calibri" w:hAnsi="Calibri"/>
                <w:b w:val="0"/>
                <w:color w:val="142A33"/>
                <w:sz w:val="18"/>
              </w:rPr>
              <w:t>Not publicly documented</w:t>
            </w:r>
          </w:p>
        </w:tc>
      </w:tr>
      <w:tr>
        <w:tc>
          <w:tcPr>
            <w:tcW w:type="dxa" w:w="2304"/>
          </w:tcPr>
          <w:p>
            <w:pPr>
              <w:spacing w:after="40" w:before="40"/>
            </w:pPr>
            <w:r/>
            <w:r>
              <w:rPr>
                <w:rFonts w:ascii="Calibri" w:hAnsi="Calibri"/>
                <w:b/>
                <w:color w:val="142A33"/>
                <w:sz w:val="18"/>
              </w:rPr>
              <w:t>Automation exception queue for operators</w:t>
            </w:r>
          </w:p>
        </w:tc>
        <w:tc>
          <w:tcPr>
            <w:tcW w:type="dxa" w:w="4104"/>
          </w:tcPr>
          <w:p>
            <w:pPr>
              <w:spacing w:after="40" w:before="40"/>
            </w:pPr>
            <w:r/>
            <w:r>
              <w:rPr>
                <w:rFonts w:ascii="Calibri" w:hAnsi="Calibri"/>
                <w:b w:val="0"/>
                <w:color w:val="142A33"/>
                <w:sz w:val="18"/>
              </w:rPr>
              <w:t>Yes — actionable, owner-aware issues rather than a second read-only log</w:t>
            </w:r>
          </w:p>
        </w:tc>
        <w:tc>
          <w:tcPr>
            <w:tcW w:type="dxa" w:w="3528"/>
          </w:tcPr>
          <w:p>
            <w:pPr>
              <w:spacing w:after="40" w:before="40"/>
            </w:pPr>
            <w:r/>
            <w:r>
              <w:rPr>
                <w:rFonts w:ascii="Calibri" w:hAnsi="Calibri"/>
                <w:b w:val="0"/>
                <w:color w:val="142A33"/>
                <w:sz w:val="18"/>
              </w:rPr>
              <w:t>Not publicly documented</w:t>
            </w:r>
          </w:p>
        </w:tc>
      </w:tr>
    </w:tbl>
    <w:p>
      <w:pPr>
        <w:spacing w:after="40"/>
      </w:pPr>
    </w:p>
    <w:p>
      <w:pPr>
        <w:spacing w:before="400" w:after="160"/>
      </w:pPr>
      <w:r>
        <w:rPr>
          <w:b/>
          <w:color w:val="142A33"/>
          <w:sz w:val="30"/>
        </w:rPr>
        <w:t>8 · Planned extensions — not built</w:t>
      </w:r>
    </w:p>
    <w:tbl>
      <w:tblPr>
        <w:tblW w:type="auto" w:w="0"/>
        <w:jc w:val="center"/>
        <w:tblLook w:firstColumn="1" w:firstRow="1" w:lastColumn="0" w:lastRow="0" w:noHBand="0" w:noVBand="1" w:val="04A0"/>
      </w:tblPr>
      <w:tblGrid>
        <w:gridCol w:w="9792"/>
      </w:tblGrid>
      <w:tr>
        <w:tc>
          <w:tcPr>
            <w:tcW w:type="dxa" w:w="9792"/>
            <w:shd w:val="clear" w:fill="F5E9E3"/>
          </w:tcPr>
          <w:p>
            <w:pPr>
              <w:spacing w:before="100" w:after="40"/>
            </w:pPr>
            <w:r/>
            <w:r>
              <w:rPr>
                <w:b/>
                <w:color w:val="9E3F28"/>
                <w:sz w:val="18"/>
              </w:rPr>
              <w:t>STATUS: NOT BUILT, NOT SCHEDULED</w:t>
            </w:r>
          </w:p>
          <w:p>
            <w:pPr>
              <w:spacing w:after="100"/>
            </w:pPr>
            <w:r>
              <w:rPr>
                <w:color w:val="142A33"/>
                <w:sz w:val="19"/>
              </w:rPr>
              <w:t>Both items below are credible extensions of the existing adapter seam and are included here because they are frequently asked for. Neither exists in the product today and neither is on the current development plan. They are listed as planned capability and must not be presented to a customer as shipped.</w:t>
            </w:r>
          </w:p>
        </w:tc>
      </w:tr>
    </w:tbl>
    <w:p>
      <w:pPr>
        <w:spacing w:after="40"/>
      </w:pPr>
    </w:p>
    <w:p>
      <w:pPr>
        <w:spacing w:before="260" w:after="80"/>
      </w:pPr>
      <w:r>
        <w:rPr>
          <w:b/>
          <w:color w:val="0B6A61"/>
          <w:sz w:val="22"/>
        </w:rPr>
        <w:t>8.1 Accuro EMR integration</w:t>
      </w:r>
    </w:p>
    <w:p>
      <w:pPr>
        <w:spacing w:after="140"/>
      </w:pPr>
      <w:r>
        <w:rPr>
          <w:i w:val="0"/>
          <w:color w:val="142A33"/>
          <w:sz w:val="20"/>
        </w:rPr>
        <w:t>Accuro is one of the most widely deployed electronic medical record systems in Canadian general and specialist practice. Integrating it would take the platform out of dental-only and into general medical clinics, which is a materially larger addressable market and one where an AI receptionist with real scheduling write-back is far less contested than in dental.</w:t>
      </w:r>
    </w:p>
    <w:p>
      <w:pPr>
        <w:pStyle w:val="ListBullet"/>
        <w:spacing w:after="60"/>
      </w:pPr>
      <w:r>
        <w:rPr>
          <w:color w:val="142A33"/>
          <w:sz w:val="20"/>
        </w:rPr>
        <w:t>Fits the existing pattern: Accuro becomes another adapter behind the same seam that already carries two PMS integrations, so the voice agent, the workflow engine and every compliance control are inherited unchanged.</w:t>
      </w:r>
    </w:p>
    <w:p>
      <w:pPr>
        <w:pStyle w:val="ListBullet"/>
        <w:spacing w:after="60"/>
      </w:pPr>
      <w:r>
        <w:rPr>
          <w:color w:val="142A33"/>
          <w:sz w:val="20"/>
        </w:rPr>
        <w:t>The capability matrix already models partial support, so Accuro can ship with only the functions it genuinely supports enabled.</w:t>
      </w:r>
    </w:p>
    <w:p>
      <w:pPr>
        <w:pStyle w:val="ListBullet"/>
        <w:spacing w:after="60"/>
      </w:pPr>
      <w:r>
        <w:rPr>
          <w:color w:val="142A33"/>
          <w:sz w:val="20"/>
        </w:rPr>
        <w:t>Strategic value: no competitor in the AI dental receptionist category, Arini included, publicly serves Canadian general practice through Accuro.</w:t>
      </w:r>
    </w:p>
    <w:p>
      <w:pPr>
        <w:spacing w:before="260" w:after="80"/>
      </w:pPr>
      <w:r>
        <w:rPr>
          <w:b/>
          <w:color w:val="0B6A61"/>
          <w:sz w:val="22"/>
        </w:rPr>
        <w:t>8.2 HubSpot integration</w:t>
      </w:r>
    </w:p>
    <w:p>
      <w:pPr>
        <w:spacing w:after="140"/>
      </w:pPr>
      <w:r>
        <w:rPr>
          <w:i w:val="0"/>
          <w:color w:val="142A33"/>
          <w:sz w:val="20"/>
        </w:rPr>
        <w:t>HubSpot is the CRM most multi-location practice groups and DSO marketing teams already run. A two-way integration would connect patient acquisition spend to booked, attended appointments.</w:t>
      </w:r>
    </w:p>
    <w:p>
      <w:pPr>
        <w:pStyle w:val="ListBullet"/>
        <w:spacing w:after="60"/>
      </w:pPr>
      <w:r>
        <w:rPr>
          <w:color w:val="142A33"/>
          <w:sz w:val="20"/>
        </w:rPr>
        <w:t>Inbound: HubSpot contacts and form submissions become campaign triggers, joining the existing Meta Lead Ads and Typeform sources.</w:t>
      </w:r>
    </w:p>
    <w:p>
      <w:pPr>
        <w:pStyle w:val="ListBullet"/>
        <w:spacing w:after="60"/>
      </w:pPr>
      <w:r>
        <w:rPr>
          <w:color w:val="142A33"/>
          <w:sz w:val="20"/>
        </w:rPr>
        <w:t>Outbound: call outcomes, booking results and campaign engagement written back onto the HubSpot contact timeline, so marketing sees which spend produced a seated patient.</w:t>
      </w:r>
    </w:p>
    <w:p>
      <w:pPr>
        <w:pStyle w:val="ListBullet"/>
        <w:spacing w:after="60"/>
      </w:pPr>
      <w:r>
        <w:rPr>
          <w:color w:val="142A33"/>
          <w:sz w:val="20"/>
        </w:rPr>
        <w:t>Also closes the gap in section 5 — HubSpot workflows would give the platform a third-party automation escape hatch comparable to Arini's Zapier support.</w:t>
      </w:r>
    </w:p>
    <w:p>
      <w:pPr>
        <w:spacing w:before="400" w:after="160"/>
      </w:pPr>
      <w:r>
        <w:rPr>
          <w:b/>
          <w:color w:val="142A33"/>
          <w:sz w:val="30"/>
        </w:rPr>
        <w:t>9 · Where Arini is genuinely ahead</w:t>
      </w:r>
    </w:p>
    <w:p>
      <w:pPr>
        <w:spacing w:after="140"/>
      </w:pPr>
      <w:r>
        <w:rPr>
          <w:i w:val="0"/>
          <w:color w:val="142A33"/>
          <w:sz w:val="20"/>
        </w:rPr>
        <w:t>A comparison that only lists our advantages is not useful internally. On the public record Arini leads on the following, and these are the areas to plan against rather than dispute.</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F2229"/>
          </w:tcPr>
          <w:p>
            <w:pPr>
              <w:spacing w:after="40" w:before="40"/>
            </w:pPr>
            <w:r/>
            <w:r>
              <w:rPr>
                <w:rFonts w:ascii="Calibri" w:hAnsi="Calibri"/>
                <w:b/>
                <w:color w:val="FFFFFF"/>
                <w:sz w:val="17"/>
              </w:rPr>
              <w:t>Area</w:t>
            </w:r>
          </w:p>
        </w:tc>
        <w:tc>
          <w:tcPr>
            <w:tcW w:type="dxa" w:w="3888"/>
            <w:shd w:val="clear" w:fill="0F2229"/>
          </w:tcPr>
          <w:p>
            <w:pPr>
              <w:spacing w:after="40" w:before="40"/>
            </w:pPr>
            <w:r/>
            <w:r>
              <w:rPr>
                <w:rFonts w:ascii="Calibri" w:hAnsi="Calibri"/>
                <w:b/>
                <w:color w:val="FFFFFF"/>
                <w:sz w:val="17"/>
              </w:rPr>
              <w:t>Arini's position</w:t>
            </w:r>
          </w:p>
        </w:tc>
        <w:tc>
          <w:tcPr>
            <w:tcW w:type="dxa" w:w="4176"/>
            <w:shd w:val="clear" w:fill="0F2229"/>
          </w:tcPr>
          <w:p>
            <w:pPr>
              <w:spacing w:after="40" w:before="40"/>
            </w:pPr>
            <w:r/>
            <w:r>
              <w:rPr>
                <w:rFonts w:ascii="Calibri" w:hAnsi="Calibri"/>
                <w:b/>
                <w:color w:val="FFFFFF"/>
                <w:sz w:val="17"/>
              </w:rPr>
              <w:t>Implication</w:t>
            </w:r>
          </w:p>
        </w:tc>
      </w:tr>
      <w:tr>
        <w:tc>
          <w:tcPr>
            <w:tcW w:type="dxa" w:w="1872"/>
          </w:tcPr>
          <w:p>
            <w:pPr>
              <w:spacing w:after="40" w:before="40"/>
            </w:pPr>
            <w:r/>
            <w:r>
              <w:rPr>
                <w:rFonts w:ascii="Calibri" w:hAnsi="Calibri"/>
                <w:b/>
                <w:color w:val="142A33"/>
                <w:sz w:val="18"/>
              </w:rPr>
              <w:t>Proven scale</w:t>
            </w:r>
          </w:p>
        </w:tc>
        <w:tc>
          <w:tcPr>
            <w:tcW w:type="dxa" w:w="3888"/>
          </w:tcPr>
          <w:p>
            <w:pPr>
              <w:spacing w:after="40" w:before="40"/>
            </w:pPr>
            <w:r/>
            <w:r>
              <w:rPr>
                <w:rFonts w:ascii="Calibri" w:hAnsi="Calibri"/>
                <w:b w:val="0"/>
                <w:color w:val="142A33"/>
                <w:sz w:val="18"/>
              </w:rPr>
              <w:t>15,000+ calls per day, 1M+ appointments booked</w:t>
            </w:r>
          </w:p>
        </w:tc>
        <w:tc>
          <w:tcPr>
            <w:tcW w:type="dxa" w:w="4176"/>
          </w:tcPr>
          <w:p>
            <w:pPr>
              <w:spacing w:after="40" w:before="40"/>
            </w:pPr>
            <w:r/>
            <w:r>
              <w:rPr>
                <w:rFonts w:ascii="Calibri" w:hAnsi="Calibri"/>
                <w:b w:val="0"/>
                <w:color w:val="142A33"/>
                <w:sz w:val="18"/>
              </w:rPr>
              <w:t>Reference-ability. A DSO buyer asks who else runs this at their size.</w:t>
            </w:r>
          </w:p>
        </w:tc>
      </w:tr>
      <w:tr>
        <w:tc>
          <w:tcPr>
            <w:tcW w:type="dxa" w:w="1872"/>
            <w:shd w:val="clear" w:fill="F1F4F3"/>
          </w:tcPr>
          <w:p>
            <w:pPr>
              <w:spacing w:after="40" w:before="40"/>
            </w:pPr>
            <w:r/>
            <w:r>
              <w:rPr>
                <w:rFonts w:ascii="Calibri" w:hAnsi="Calibri"/>
                <w:b/>
                <w:color w:val="142A33"/>
                <w:sz w:val="18"/>
              </w:rPr>
              <w:t>Brand and distribution</w:t>
            </w:r>
          </w:p>
        </w:tc>
        <w:tc>
          <w:tcPr>
            <w:tcW w:type="dxa" w:w="3888"/>
            <w:shd w:val="clear" w:fill="F1F4F3"/>
          </w:tcPr>
          <w:p>
            <w:pPr>
              <w:spacing w:after="40" w:before="40"/>
            </w:pPr>
            <w:r/>
            <w:r>
              <w:rPr>
                <w:rFonts w:ascii="Calibri" w:hAnsi="Calibri"/>
                <w:b w:val="0"/>
                <w:color w:val="142A33"/>
                <w:sz w:val="18"/>
              </w:rPr>
              <w:t>Y Combinator W24, extensive published content marketing on PMS integration topics</w:t>
            </w:r>
          </w:p>
        </w:tc>
        <w:tc>
          <w:tcPr>
            <w:tcW w:type="dxa" w:w="4176"/>
            <w:shd w:val="clear" w:fill="F1F4F3"/>
          </w:tcPr>
          <w:p>
            <w:pPr>
              <w:spacing w:after="40" w:before="40"/>
            </w:pPr>
            <w:r/>
            <w:r>
              <w:rPr>
                <w:rFonts w:ascii="Calibri" w:hAnsi="Calibri"/>
                <w:b w:val="0"/>
                <w:color w:val="142A33"/>
                <w:sz w:val="18"/>
              </w:rPr>
              <w:t>They are found first in search. Category-defining language is theirs.</w:t>
            </w:r>
          </w:p>
        </w:tc>
      </w:tr>
      <w:tr>
        <w:tc>
          <w:tcPr>
            <w:tcW w:type="dxa" w:w="1872"/>
          </w:tcPr>
          <w:p>
            <w:pPr>
              <w:spacing w:after="40" w:before="40"/>
            </w:pPr>
            <w:r/>
            <w:r>
              <w:rPr>
                <w:rFonts w:ascii="Calibri" w:hAnsi="Calibri"/>
                <w:b/>
                <w:color w:val="142A33"/>
                <w:sz w:val="18"/>
              </w:rPr>
              <w:t>Capital and team</w:t>
            </w:r>
          </w:p>
        </w:tc>
        <w:tc>
          <w:tcPr>
            <w:tcW w:type="dxa" w:w="3888"/>
          </w:tcPr>
          <w:p>
            <w:pPr>
              <w:spacing w:after="40" w:before="40"/>
            </w:pPr>
            <w:r/>
            <w:r>
              <w:rPr>
                <w:rFonts w:ascii="Calibri" w:hAnsi="Calibri"/>
                <w:b w:val="0"/>
                <w:color w:val="142A33"/>
                <w:sz w:val="18"/>
              </w:rPr>
              <w:t>~US$1.1M disclosed, team of 17 including forward-deployed engineers</w:t>
            </w:r>
          </w:p>
        </w:tc>
        <w:tc>
          <w:tcPr>
            <w:tcW w:type="dxa" w:w="4176"/>
          </w:tcPr>
          <w:p>
            <w:pPr>
              <w:spacing w:after="40" w:before="40"/>
            </w:pPr>
            <w:r/>
            <w:r>
              <w:rPr>
                <w:rFonts w:ascii="Calibri" w:hAnsi="Calibri"/>
                <w:b w:val="0"/>
                <w:color w:val="142A33"/>
                <w:sz w:val="18"/>
              </w:rPr>
              <w:t>They can staff white-glove onboarding per practice.</w:t>
            </w:r>
          </w:p>
        </w:tc>
      </w:tr>
      <w:tr>
        <w:tc>
          <w:tcPr>
            <w:tcW w:type="dxa" w:w="1872"/>
            <w:shd w:val="clear" w:fill="F1F4F3"/>
          </w:tcPr>
          <w:p>
            <w:pPr>
              <w:spacing w:after="40" w:before="40"/>
            </w:pPr>
            <w:r/>
            <w:r>
              <w:rPr>
                <w:rFonts w:ascii="Calibri" w:hAnsi="Calibri"/>
                <w:b/>
                <w:color w:val="142A33"/>
                <w:sz w:val="18"/>
              </w:rPr>
              <w:t>Onboarding friction</w:t>
            </w:r>
          </w:p>
        </w:tc>
        <w:tc>
          <w:tcPr>
            <w:tcW w:type="dxa" w:w="3888"/>
            <w:shd w:val="clear" w:fill="F1F4F3"/>
          </w:tcPr>
          <w:p>
            <w:pPr>
              <w:spacing w:after="40" w:before="40"/>
            </w:pPr>
            <w:r/>
            <w:r>
              <w:rPr>
                <w:rFonts w:ascii="Calibri" w:hAnsi="Calibri"/>
                <w:b w:val="0"/>
                <w:color w:val="142A33"/>
                <w:sz w:val="18"/>
              </w:rPr>
              <w:t>“One-click” PMS integration claim</w:t>
            </w:r>
          </w:p>
        </w:tc>
        <w:tc>
          <w:tcPr>
            <w:tcW w:type="dxa" w:w="4176"/>
            <w:shd w:val="clear" w:fill="F1F4F3"/>
          </w:tcPr>
          <w:p>
            <w:pPr>
              <w:spacing w:after="40" w:before="40"/>
            </w:pPr>
            <w:r/>
            <w:r>
              <w:rPr>
                <w:rFonts w:ascii="Calibri" w:hAnsi="Calibri"/>
                <w:b w:val="0"/>
                <w:color w:val="142A33"/>
                <w:sz w:val="18"/>
              </w:rPr>
              <w:t>Our per-location setup is more configurable and therefore slower. Worth measuring time-to-first-answered-call against theirs.</w:t>
            </w:r>
          </w:p>
        </w:tc>
      </w:tr>
      <w:tr>
        <w:tc>
          <w:tcPr>
            <w:tcW w:type="dxa" w:w="1872"/>
          </w:tcPr>
          <w:p>
            <w:pPr>
              <w:spacing w:after="40" w:before="40"/>
            </w:pPr>
            <w:r/>
            <w:r>
              <w:rPr>
                <w:rFonts w:ascii="Calibri" w:hAnsi="Calibri"/>
                <w:b/>
                <w:color w:val="142A33"/>
                <w:sz w:val="18"/>
              </w:rPr>
              <w:t>Third-party automation</w:t>
            </w:r>
          </w:p>
        </w:tc>
        <w:tc>
          <w:tcPr>
            <w:tcW w:type="dxa" w:w="3888"/>
          </w:tcPr>
          <w:p>
            <w:pPr>
              <w:spacing w:after="40" w:before="40"/>
            </w:pPr>
            <w:r/>
            <w:r>
              <w:rPr>
                <w:rFonts w:ascii="Calibri" w:hAnsi="Calibri"/>
                <w:b w:val="0"/>
                <w:color w:val="142A33"/>
                <w:sz w:val="18"/>
              </w:rPr>
              <w:t>Zapier, 9,000+ apps</w:t>
            </w:r>
          </w:p>
        </w:tc>
        <w:tc>
          <w:tcPr>
            <w:tcW w:type="dxa" w:w="4176"/>
          </w:tcPr>
          <w:p>
            <w:pPr>
              <w:spacing w:after="40" w:before="40"/>
            </w:pPr>
            <w:r/>
            <w:r>
              <w:rPr>
                <w:rFonts w:ascii="Calibri" w:hAnsi="Calibri"/>
                <w:b w:val="0"/>
                <w:color w:val="142A33"/>
                <w:sz w:val="18"/>
              </w:rPr>
              <w:t>Our workflow engine is deeper but closed. A public webhook-out node would neutralise most of this gap cheaply.</w:t>
            </w:r>
          </w:p>
        </w:tc>
      </w:tr>
      <w:tr>
        <w:tc>
          <w:tcPr>
            <w:tcW w:type="dxa" w:w="1872"/>
            <w:shd w:val="clear" w:fill="F1F4F3"/>
          </w:tcPr>
          <w:p>
            <w:pPr>
              <w:spacing w:after="40" w:before="40"/>
            </w:pPr>
            <w:r/>
            <w:r>
              <w:rPr>
                <w:rFonts w:ascii="Calibri" w:hAnsi="Calibri"/>
                <w:b/>
                <w:color w:val="142A33"/>
                <w:sz w:val="18"/>
              </w:rPr>
              <w:t>Published proof points</w:t>
            </w:r>
          </w:p>
        </w:tc>
        <w:tc>
          <w:tcPr>
            <w:tcW w:type="dxa" w:w="3888"/>
            <w:shd w:val="clear" w:fill="F1F4F3"/>
          </w:tcPr>
          <w:p>
            <w:pPr>
              <w:spacing w:after="40" w:before="40"/>
            </w:pPr>
            <w:r/>
            <w:r>
              <w:rPr>
                <w:rFonts w:ascii="Calibri" w:hAnsi="Calibri"/>
                <w:b w:val="0"/>
                <w:color w:val="142A33"/>
                <w:sz w:val="18"/>
              </w:rPr>
              <w:t>68% booking conversion, per-location call volumes</w:t>
            </w:r>
          </w:p>
        </w:tc>
        <w:tc>
          <w:tcPr>
            <w:tcW w:type="dxa" w:w="4176"/>
            <w:shd w:val="clear" w:fill="F1F4F3"/>
          </w:tcPr>
          <w:p>
            <w:pPr>
              <w:spacing w:after="40" w:before="40"/>
            </w:pPr>
            <w:r/>
            <w:r>
              <w:rPr>
                <w:rFonts w:ascii="Calibri" w:hAnsi="Calibri"/>
                <w:b w:val="0"/>
                <w:color w:val="142A33"/>
                <w:sz w:val="18"/>
              </w:rPr>
              <w:t>We have the data to publish equivalent figures and currently do not.</w:t>
            </w:r>
          </w:p>
        </w:tc>
      </w:tr>
    </w:tbl>
    <w:p>
      <w:pPr>
        <w:spacing w:after="40"/>
      </w:pPr>
    </w:p>
    <w:p>
      <w:pPr>
        <w:spacing w:before="400" w:after="160"/>
      </w:pPr>
      <w:r>
        <w:rPr>
          <w:b/>
          <w:color w:val="142A33"/>
          <w:sz w:val="30"/>
        </w:rPr>
        <w:t>10 · Summary</w:t>
      </w:r>
    </w:p>
    <w:tbl>
      <w:tblPr>
        <w:tblStyle w:val="TableGrid"/>
        <w:tblW w:type="auto" w:w="0"/>
        <w:jc w:val="center"/>
        <w:tblLook w:firstColumn="1" w:firstRow="1" w:lastColumn="0" w:lastRow="0" w:noHBand="0" w:noVBand="1" w:val="04A0"/>
      </w:tblPr>
      <w:tblGrid>
        <w:gridCol w:w="4896"/>
        <w:gridCol w:w="4896"/>
      </w:tblGrid>
      <w:tr>
        <w:tc>
          <w:tcPr>
            <w:tcW w:type="dxa" w:w="2088"/>
            <w:shd w:val="clear" w:fill="0F2229"/>
          </w:tcPr>
          <w:p>
            <w:pPr>
              <w:spacing w:after="40" w:before="40"/>
            </w:pPr>
            <w:r/>
            <w:r>
              <w:rPr>
                <w:rFonts w:ascii="Calibri" w:hAnsi="Calibri"/>
                <w:b/>
                <w:color w:val="FFFFFF"/>
                <w:sz w:val="17"/>
              </w:rPr>
              <w:t>Dimension</w:t>
            </w:r>
          </w:p>
        </w:tc>
        <w:tc>
          <w:tcPr>
            <w:tcW w:type="dxa" w:w="7848"/>
            <w:shd w:val="clear" w:fill="0F2229"/>
          </w:tcPr>
          <w:p>
            <w:pPr>
              <w:spacing w:after="40" w:before="40"/>
            </w:pPr>
            <w:r/>
            <w:r>
              <w:rPr>
                <w:rFonts w:ascii="Calibri" w:hAnsi="Calibri"/>
                <w:b/>
                <w:color w:val="FFFFFF"/>
                <w:sz w:val="17"/>
              </w:rPr>
              <w:t>Verdict</w:t>
            </w:r>
          </w:p>
        </w:tc>
      </w:tr>
      <w:tr>
        <w:tc>
          <w:tcPr>
            <w:tcW w:type="dxa" w:w="2088"/>
          </w:tcPr>
          <w:p>
            <w:pPr>
              <w:spacing w:after="40" w:before="40"/>
            </w:pPr>
            <w:r/>
            <w:r>
              <w:rPr>
                <w:rFonts w:ascii="Calibri" w:hAnsi="Calibri"/>
                <w:b w:val="0"/>
                <w:color w:val="142A33"/>
                <w:sz w:val="19"/>
              </w:rPr>
              <w:t>PMS and EMR breadth</w:t>
            </w:r>
          </w:p>
        </w:tc>
        <w:tc>
          <w:tcPr>
            <w:tcW w:type="dxa" w:w="7848"/>
          </w:tcPr>
          <w:p>
            <w:pPr>
              <w:spacing w:after="40" w:before="40"/>
            </w:pPr>
            <w:r/>
            <w:r>
              <w:rPr>
                <w:rFonts w:ascii="Calibri" w:hAnsi="Calibri"/>
                <w:b w:val="0"/>
                <w:color w:val="142A33"/>
                <w:sz w:val="19"/>
              </w:rPr>
              <w:t>Clear ScaleNexus advantage — 17 systems with per-system capability gating, a second independent PMS path, and a no-PMS mode that lets a clinic start with zero integration. Arini publicly names three.</w:t>
            </w:r>
          </w:p>
        </w:tc>
      </w:tr>
      <w:tr>
        <w:tc>
          <w:tcPr>
            <w:tcW w:type="dxa" w:w="2088"/>
            <w:shd w:val="clear" w:fill="F1F4F3"/>
          </w:tcPr>
          <w:p>
            <w:pPr>
              <w:spacing w:after="40" w:before="40"/>
            </w:pPr>
            <w:r/>
            <w:r>
              <w:rPr>
                <w:rFonts w:ascii="Calibri" w:hAnsi="Calibri"/>
                <w:b w:val="0"/>
                <w:color w:val="142A33"/>
                <w:sz w:val="19"/>
              </w:rPr>
              <w:t>Inbound voice agent</w:t>
            </w:r>
          </w:p>
        </w:tc>
        <w:tc>
          <w:tcPr>
            <w:tcW w:type="dxa" w:w="7848"/>
            <w:shd w:val="clear" w:fill="F1F4F3"/>
          </w:tcPr>
          <w:p>
            <w:pPr>
              <w:spacing w:after="40" w:before="40"/>
            </w:pPr>
            <w:r/>
            <w:r>
              <w:rPr>
                <w:rFonts w:ascii="Calibri" w:hAnsi="Calibri"/>
                <w:b w:val="0"/>
                <w:color w:val="142A33"/>
                <w:sz w:val="19"/>
              </w:rPr>
              <w:t>Broadly comparable in what a patient experiences. ScaleNexus adds an identity gate before patient data is disclosed, duplicate-booking protection, and an operator test harness for the agent's functions.</w:t>
            </w:r>
          </w:p>
        </w:tc>
      </w:tr>
      <w:tr>
        <w:tc>
          <w:tcPr>
            <w:tcW w:type="dxa" w:w="2088"/>
          </w:tcPr>
          <w:p>
            <w:pPr>
              <w:spacing w:after="40" w:before="40"/>
            </w:pPr>
            <w:r/>
            <w:r>
              <w:rPr>
                <w:rFonts w:ascii="Calibri" w:hAnsi="Calibri"/>
                <w:b w:val="0"/>
                <w:color w:val="142A33"/>
                <w:sz w:val="19"/>
              </w:rPr>
              <w:t>Outbound engagement</w:t>
            </w:r>
          </w:p>
        </w:tc>
        <w:tc>
          <w:tcPr>
            <w:tcW w:type="dxa" w:w="7848"/>
          </w:tcPr>
          <w:p>
            <w:pPr>
              <w:spacing w:after="40" w:before="40"/>
            </w:pPr>
            <w:r/>
            <w:r>
              <w:rPr>
                <w:rFonts w:ascii="Calibri" w:hAnsi="Calibri"/>
                <w:b w:val="0"/>
                <w:color w:val="142A33"/>
                <w:sz w:val="19"/>
              </w:rPr>
              <w:t>ScaleNexus advantage on breadth — three channels, AI-handled two-way SMS, patient replies that resume a campaign, and native lead capture. Arini covers the common cases as productised campaigns.</w:t>
            </w:r>
          </w:p>
        </w:tc>
      </w:tr>
      <w:tr>
        <w:tc>
          <w:tcPr>
            <w:tcW w:type="dxa" w:w="2088"/>
            <w:shd w:val="clear" w:fill="F1F4F3"/>
          </w:tcPr>
          <w:p>
            <w:pPr>
              <w:spacing w:after="40" w:before="40"/>
            </w:pPr>
            <w:r/>
            <w:r>
              <w:rPr>
                <w:rFonts w:ascii="Calibri" w:hAnsi="Calibri"/>
                <w:b w:val="0"/>
                <w:color w:val="142A33"/>
                <w:sz w:val="19"/>
              </w:rPr>
              <w:t>Automation depth</w:t>
            </w:r>
          </w:p>
        </w:tc>
        <w:tc>
          <w:tcPr>
            <w:tcW w:type="dxa" w:w="7848"/>
            <w:shd w:val="clear" w:fill="F1F4F3"/>
          </w:tcPr>
          <w:p>
            <w:pPr>
              <w:spacing w:after="40" w:before="40"/>
            </w:pPr>
            <w:r/>
            <w:r>
              <w:rPr>
                <w:rFonts w:ascii="Calibri" w:hAnsi="Calibri"/>
                <w:b w:val="0"/>
                <w:color w:val="142A33"/>
                <w:sz w:val="19"/>
              </w:rPr>
              <w:t>Clear ScaleNexus advantage — a validated, versioned workflow engine with 11 triggers and 19 node types versus fixed behaviours plus Zapier. Arini wins on third-party reach.</w:t>
            </w:r>
          </w:p>
        </w:tc>
      </w:tr>
      <w:tr>
        <w:tc>
          <w:tcPr>
            <w:tcW w:type="dxa" w:w="2088"/>
          </w:tcPr>
          <w:p>
            <w:pPr>
              <w:spacing w:after="40" w:before="40"/>
            </w:pPr>
            <w:r/>
            <w:r>
              <w:rPr>
                <w:rFonts w:ascii="Calibri" w:hAnsi="Calibri"/>
                <w:b w:val="0"/>
                <w:color w:val="142A33"/>
                <w:sz w:val="19"/>
              </w:rPr>
              <w:t>Compliance and multi-tenancy</w:t>
            </w:r>
          </w:p>
        </w:tc>
        <w:tc>
          <w:tcPr>
            <w:tcW w:type="dxa" w:w="7848"/>
          </w:tcPr>
          <w:p>
            <w:pPr>
              <w:spacing w:after="40" w:before="40"/>
            </w:pPr>
            <w:r/>
            <w:r>
              <w:rPr>
                <w:rFonts w:ascii="Calibri" w:hAnsi="Calibri"/>
                <w:b w:val="0"/>
                <w:color w:val="142A33"/>
                <w:sz w:val="19"/>
              </w:rPr>
              <w:t>Clear ScaleNexus advantage, and the least replicable one. Database-enforced tenant isolation, mandatory MFA, column-level encryption, an append-only audit trail and one consent gate for every outbound message.</w:t>
            </w:r>
          </w:p>
        </w:tc>
      </w:tr>
      <w:tr>
        <w:tc>
          <w:tcPr>
            <w:tcW w:type="dxa" w:w="2088"/>
            <w:shd w:val="clear" w:fill="F1F4F3"/>
          </w:tcPr>
          <w:p>
            <w:pPr>
              <w:spacing w:after="40" w:before="40"/>
            </w:pPr>
            <w:r/>
            <w:r>
              <w:rPr>
                <w:rFonts w:ascii="Calibri" w:hAnsi="Calibri"/>
                <w:b w:val="0"/>
                <w:color w:val="142A33"/>
                <w:sz w:val="19"/>
              </w:rPr>
              <w:t>Reporting</w:t>
            </w:r>
          </w:p>
        </w:tc>
        <w:tc>
          <w:tcPr>
            <w:tcW w:type="dxa" w:w="7848"/>
            <w:shd w:val="clear" w:fill="F1F4F3"/>
          </w:tcPr>
          <w:p>
            <w:pPr>
              <w:spacing w:after="40" w:before="40"/>
            </w:pPr>
            <w:r/>
            <w:r>
              <w:rPr>
                <w:rFonts w:ascii="Calibri" w:hAnsi="Calibri"/>
                <w:b w:val="0"/>
                <w:color w:val="142A33"/>
                <w:sz w:val="19"/>
              </w:rPr>
              <w:t>Comparable. Arini publishes proof points; we do not.</w:t>
            </w:r>
          </w:p>
        </w:tc>
      </w:tr>
      <w:tr>
        <w:tc>
          <w:tcPr>
            <w:tcW w:type="dxa" w:w="2088"/>
          </w:tcPr>
          <w:p>
            <w:pPr>
              <w:spacing w:after="40" w:before="40"/>
            </w:pPr>
            <w:r/>
            <w:r>
              <w:rPr>
                <w:rFonts w:ascii="Calibri" w:hAnsi="Calibri"/>
                <w:b w:val="0"/>
                <w:color w:val="142A33"/>
                <w:sz w:val="19"/>
              </w:rPr>
              <w:t>Scale, brand and capital</w:t>
            </w:r>
          </w:p>
        </w:tc>
        <w:tc>
          <w:tcPr>
            <w:tcW w:type="dxa" w:w="7848"/>
          </w:tcPr>
          <w:p>
            <w:pPr>
              <w:spacing w:after="40" w:before="40"/>
            </w:pPr>
            <w:r/>
            <w:r>
              <w:rPr>
                <w:rFonts w:ascii="Calibri" w:hAnsi="Calibri"/>
                <w:b w:val="0"/>
                <w:color w:val="142A33"/>
                <w:sz w:val="19"/>
              </w:rPr>
              <w:t>Clear Arini advantage.</w:t>
            </w:r>
          </w:p>
        </w:tc>
      </w:tr>
    </w:tbl>
    <w:p>
      <w:pPr>
        <w:spacing w:after="40"/>
      </w:pPr>
    </w:p>
    <w:p>
      <w:pPr>
        <w:spacing w:after="140"/>
      </w:pPr>
      <w:r>
        <w:rPr>
          <w:i w:val="0"/>
          <w:color w:val="142A33"/>
          <w:sz w:val="21"/>
        </w:rPr>
        <w:t>The defensible position is not “a better-sounding voice agent”. It is that ScaleNexus is the only one of the two that can be deployed across 17 practice-management systems, told exactly what each one supports, run with no PMS at all on day one, and handed to a DSO's security review with database-enforced tenant isolation and a per-message consent gate already in place.</w:t>
      </w:r>
    </w:p>
    <w:p>
      <w:pPr>
        <w:spacing w:before="320"/>
      </w:pPr>
      <w:r>
        <w:rPr>
          <w:i/>
          <w:color w:val="54686D"/>
          <w:sz w:val="16"/>
        </w:rPr>
        <w:t>Sources — ScaleNexus figures are counted from the live codebase (capability matrix, workflow node and trigger registries, agent function registry). Arini figures are from arini.ai, the Y Combinator company profile, Crunchbase, PitchBook, Tracxn and Signalbase, retrieved September 2026. Rows marked “not publicly documented” mean the capability was not found in public material; that is not evidence the capability is absent.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4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