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6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a83d17084347ea5e40204bec734972b2a29231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Презентация: Экономика единиц для Цифровых Финансовых Активов (DFA)</w:t>
      </w:r>
    </w:p>
    <w:p>
      <w:r>
        <w:pict>
          <v:rect style="width:0;height:1.5pt" o:hralign="center" o:hrstd="t" o:hr="t"/>
        </w:pict>
      </w:r>
    </w:p>
    <w:bookmarkStart w:id="23" w:name="слайд-1-заглавный-слайд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Слайд 1: Заглавный слайд</w:t>
      </w:r>
    </w:p>
    <w:p>
      <w:pPr>
        <w:pStyle w:val="FirstParagraph"/>
      </w:pPr>
      <w:r>
        <w:t xml:space="preserve">Экономика единиц для Цифровых Финансовых Активов (DFA)</w:t>
      </w:r>
      <w:r>
        <w:br/>
      </w:r>
      <w:r>
        <w:t xml:space="preserve">Дорожная карта для инвесторов</w:t>
      </w:r>
      <w:r>
        <w:br/>
      </w:r>
      <w:r>
        <w:drawing>
          <wp:inline>
            <wp:extent cx="5334000" cy="2596333"/>
            <wp:effectExtent b="0" l="0" r="0" t="0"/>
            <wp:docPr descr="Главное изображение" title="" id="21" name="Picture"/>
            <a:graphic>
              <a:graphicData uri="http://schemas.openxmlformats.org/drawingml/2006/picture">
                <pic:pic>
                  <pic:nvPicPr>
                    <pic:cNvPr descr="image/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"/>
    <w:bookmarkStart w:id="27" w:name="слайд-2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Слайд 2: Введение</w:t>
      </w:r>
    </w:p>
    <w:p>
      <w:pPr>
        <w:pStyle w:val="FirstParagraph"/>
      </w:pPr>
      <w:r>
        <w:t xml:space="preserve">Что такое цифровые финансовые активы (DFA)?</w:t>
      </w:r>
      <w:r>
        <w:br/>
      </w:r>
      <w:r>
        <w:t xml:space="preserve">DFA представляют собой активы, существующие в цифровом формате, такие как криптовалюты, токены и другие формы цифровых инвестиций, которые быстро развиваются на финансовом рынке.</w:t>
      </w:r>
      <w:r>
        <w:br/>
      </w:r>
      <w:r>
        <w:drawing>
          <wp:inline>
            <wp:extent cx="3797300" cy="2133600"/>
            <wp:effectExtent b="0" l="0" r="0" t="0"/>
            <wp:docPr descr="Изображение DFA" title="" id="25" name="Picture"/>
            <a:graphic>
              <a:graphicData uri="http://schemas.openxmlformats.org/drawingml/2006/picture">
                <pic:pic>
                  <pic:nvPicPr>
                    <pic:cNvPr descr="image/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"/>
    <w:bookmarkStart w:id="31" w:name="слайд-3-экономика-единиц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Слайд 3: Экономика единиц</w:t>
      </w:r>
    </w:p>
    <w:p>
      <w:pPr>
        <w:pStyle w:val="FirstParagraph"/>
      </w:pPr>
      <w:r>
        <w:t xml:space="preserve">Определение экономики единиц:</w:t>
      </w:r>
      <w:r>
        <w:br/>
      </w:r>
      <w:r>
        <w:t xml:space="preserve">Экономика единиц фокусируется на расчетах, используемых для оценки прибыльности и стоимости бизнес-моделей. Ключевые показатели включают:</w:t>
      </w:r>
      <w:r>
        <w:br/>
      </w:r>
      <w:r>
        <w:t xml:space="preserve">- ARPU (Доход на пользователя) — средний доход от одного пользователя.</w:t>
      </w:r>
      <w:r>
        <w:br/>
      </w:r>
      <w:r>
        <w:t xml:space="preserve">- CAC (Затраты на привлечение клиента) — сумма средств, необходимых для привлечения нового клиента.</w:t>
      </w:r>
      <w:r>
        <w:br/>
      </w:r>
      <w:r>
        <w:t xml:space="preserve">- LTV (Пожизненная ценность клиента) — общая сумма доходов, которую клиент приносит за все время взаимодействия с бизнесом.</w:t>
      </w:r>
      <w:r>
        <w:br/>
      </w:r>
      <w:r>
        <w:drawing>
          <wp:inline>
            <wp:extent cx="3543300" cy="2286000"/>
            <wp:effectExtent b="0" l="0" r="0" t="0"/>
            <wp:docPr descr="График экономики единиц" title="" id="29" name="Picture"/>
            <a:graphic>
              <a:graphicData uri="http://schemas.openxmlformats.org/drawingml/2006/picture">
                <pic:pic>
                  <pic:nvPicPr>
                    <pic:cNvPr descr="image/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5" w:name="слайд-4-важность-экономики-единиц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Слайд 4: Важность экономики единиц</w:t>
      </w:r>
    </w:p>
    <w:p>
      <w:pPr>
        <w:pStyle w:val="FirstParagraph"/>
      </w:pPr>
      <w:r>
        <w:t xml:space="preserve">Значение для инвесторов:</w:t>
      </w:r>
      <w:r>
        <w:br/>
      </w:r>
      <w:r>
        <w:t xml:space="preserve">Экономика единиц помогает инвесторам:</w:t>
      </w:r>
      <w:r>
        <w:br/>
      </w:r>
      <w:r>
        <w:t xml:space="preserve">- Анализировать риски и возможности — понимание динамики дохода и затрат позволяет сделать более информированный выбор.</w:t>
      </w:r>
      <w:r>
        <w:br/>
      </w:r>
      <w:r>
        <w:t xml:space="preserve">- Прогнозировать будущие доходы — на основе исторических данных можно прогнозировать доходность.</w:t>
      </w:r>
      <w:r>
        <w:br/>
      </w:r>
      <w:r>
        <w:t xml:space="preserve">- Оценивать эффективность инвестиционных стратегий — понимание своих затрат и доходностей поможет оптимизировать вложения.</w:t>
      </w:r>
      <w:r>
        <w:br/>
      </w:r>
      <w:r>
        <w:drawing>
          <wp:inline>
            <wp:extent cx="3683000" cy="2209800"/>
            <wp:effectExtent b="0" l="0" r="0" t="0"/>
            <wp:docPr descr="Изображение анализа" title="" id="33" name="Picture"/>
            <a:graphic>
              <a:graphicData uri="http://schemas.openxmlformats.org/drawingml/2006/picture">
                <pic:pic>
                  <pic:nvPicPr>
                    <pic:cNvPr descr="image/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5"/>
    <w:bookmarkStart w:id="39" w:name="слайд-5-ключевые-показатели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Слайд 5: Ключевые показатели</w:t>
      </w:r>
    </w:p>
    <w:p>
      <w:pPr>
        <w:pStyle w:val="FirstParagraph"/>
      </w:pPr>
      <w:r>
        <w:t xml:space="preserve">Основные метрики DFA:</w:t>
      </w:r>
      <w:r>
        <w:br/>
      </w:r>
      <w:r>
        <w:t xml:space="preserve">Важные для анализа DFA показатели включают:</w:t>
      </w:r>
      <w:r>
        <w:br/>
      </w:r>
      <w:r>
        <w:t xml:space="preserve">- Общий объем торгов — показывает ликвидность актива.</w:t>
      </w:r>
      <w:r>
        <w:br/>
      </w:r>
      <w:r>
        <w:t xml:space="preserve">- Рыночная капитализация — общая стоимость всех токенов на рынке.</w:t>
      </w:r>
      <w:r>
        <w:br/>
      </w:r>
      <w:r>
        <w:t xml:space="preserve">- Волатильность — измеряет колебания цены актива.</w:t>
      </w:r>
      <w:r>
        <w:br/>
      </w:r>
      <w:r>
        <w:drawing>
          <wp:inline>
            <wp:extent cx="4978400" cy="1625600"/>
            <wp:effectExtent b="0" l="0" r="0" t="0"/>
            <wp:docPr descr="График показателей" title="" id="37" name="Picture"/>
            <a:graphic>
              <a:graphicData uri="http://schemas.openxmlformats.org/drawingml/2006/picture">
                <pic:pic>
                  <pic:nvPicPr>
                    <pic:cNvPr descr="image/1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Start w:id="43" w:name="слайд-6-успешные-модели-dfa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Слайд 6: Успешные модели DFA</w:t>
      </w:r>
    </w:p>
    <w:p>
      <w:pPr>
        <w:pStyle w:val="FirstParagraph"/>
      </w:pPr>
      <w:r>
        <w:t xml:space="preserve">Примеры успешных проектов:</w:t>
      </w:r>
      <w:r>
        <w:br/>
      </w:r>
      <w:r>
        <w:t xml:space="preserve">Некоторые проекты DFA используют успешные модели экономики единиц для достижения роста и устойчивости. Эти модели помогают определять стратегии, направленные на привлечение и удержание клиентов.</w:t>
      </w:r>
      <w:r>
        <w:br/>
      </w:r>
      <w:r>
        <w:drawing>
          <wp:inline>
            <wp:extent cx="5334000" cy="4373880"/>
            <wp:effectExtent b="0" l="0" r="0" t="0"/>
            <wp:docPr descr="Изображения успешных проектов" title="" id="41" name="Picture"/>
            <a:graphic>
              <a:graphicData uri="http://schemas.openxmlformats.org/drawingml/2006/picture">
                <pic:pic>
                  <pic:nvPicPr>
                    <pic:cNvPr descr="image/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Start w:id="47" w:name="слайд-7-оценка-рисков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Слайд 7: Оценка рисков</w:t>
      </w:r>
    </w:p>
    <w:p>
      <w:pPr>
        <w:pStyle w:val="FirstParagraph"/>
      </w:pPr>
      <w:r>
        <w:t xml:space="preserve">Риски при инвестициях в DFA:</w:t>
      </w:r>
      <w:r>
        <w:br/>
      </w:r>
      <w:r>
        <w:t xml:space="preserve">Инвестирование в DFA связано с рисками, такими как:</w:t>
      </w:r>
      <w:r>
        <w:br/>
      </w:r>
      <w:r>
        <w:t xml:space="preserve">- Высокая волатильность — внезапные изменения цен могут повлиять на прибыль.</w:t>
      </w:r>
      <w:r>
        <w:br/>
      </w:r>
      <w:r>
        <w:t xml:space="preserve">- Регуляторные риски — законы о цифровых финансах могут варьироваться в разных юрисдикциях.</w:t>
      </w:r>
      <w:r>
        <w:br/>
      </w:r>
      <w:r>
        <w:drawing>
          <wp:inline>
            <wp:extent cx="3886200" cy="2095500"/>
            <wp:effectExtent b="0" l="0" r="0" t="0"/>
            <wp:docPr descr="Иконки рисков" title="" id="45" name="Picture"/>
            <a:graphic>
              <a:graphicData uri="http://schemas.openxmlformats.org/drawingml/2006/picture">
                <pic:pic>
                  <pic:nvPicPr>
                    <pic:cNvPr descr="image/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1" w:name="слайд-8-стратегии-для-инвестиций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Слайд 8: Стратегии для инвестиций</w:t>
      </w:r>
    </w:p>
    <w:p>
      <w:pPr>
        <w:pStyle w:val="FirstParagraph"/>
      </w:pPr>
      <w:r>
        <w:t xml:space="preserve">Рекомендации для инвесторов:</w:t>
      </w:r>
      <w:r>
        <w:br/>
      </w:r>
      <w:r>
        <w:t xml:space="preserve">Чтобы эффективно инвестировать в DFA, рекомендуется:</w:t>
      </w:r>
      <w:r>
        <w:br/>
      </w:r>
      <w:r>
        <w:t xml:space="preserve">- Диверсифицировать портфель — не вкладывайте все средства в один актив.</w:t>
      </w:r>
      <w:r>
        <w:br/>
      </w:r>
      <w:r>
        <w:t xml:space="preserve">- Сосредоточиться на долгосрочных инвестициях — избегайте спекулятивной торговли ради большей стабильности.</w:t>
      </w:r>
      <w:r>
        <w:br/>
      </w:r>
      <w:r>
        <w:drawing>
          <wp:inline>
            <wp:extent cx="5334000" cy="4166795"/>
            <wp:effectExtent b="0" l="0" r="0" t="0"/>
            <wp:docPr descr="Графика стратегий" title="" id="49" name="Picture"/>
            <a:graphic>
              <a:graphicData uri="http://schemas.openxmlformats.org/drawingml/2006/picture">
                <pic:pic>
                  <pic:nvPicPr>
                    <pic:cNvPr descr="image/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5" w:name="слайд-9-заключение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Слайд 9: Заключение</w:t>
      </w:r>
    </w:p>
    <w:p>
      <w:pPr>
        <w:pStyle w:val="FirstParagraph"/>
      </w:pPr>
      <w:r>
        <w:t xml:space="preserve">Выводы:</w:t>
      </w:r>
      <w:r>
        <w:br/>
      </w:r>
      <w:r>
        <w:t xml:space="preserve">Экономика единиц является важным инструментом для оценки DFA и принятия обоснованных инвестиционных решений. Она помогает инвесторам четко увидеть потенциальные риски и доходности.</w:t>
      </w:r>
      <w:r>
        <w:br/>
      </w:r>
      <w:r>
        <w:drawing>
          <wp:inline>
            <wp:extent cx="3251200" cy="2489200"/>
            <wp:effectExtent b="0" l="0" r="0" t="0"/>
            <wp:docPr descr="Изображение успеха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5"/>
    <w:bookmarkStart w:id="59" w:name="слайд-10-вопросы-и-ответы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Слайд 10: Вопросы и ответы</w:t>
      </w:r>
    </w:p>
    <w:p>
      <w:pPr>
        <w:pStyle w:val="FirstParagraph"/>
      </w:pPr>
      <w:r>
        <w:t xml:space="preserve">Овремя для вопросов:</w:t>
      </w:r>
      <w:r>
        <w:br/>
      </w:r>
      <w:r>
        <w:t xml:space="preserve">Приглашаем задавать вопросы!</w:t>
      </w:r>
      <w:r>
        <w:br/>
      </w:r>
      <w:r>
        <w:drawing>
          <wp:inline>
            <wp:extent cx="5334000" cy="3890264"/>
            <wp:effectExtent b="0" l="0" r="0" t="0"/>
            <wp:docPr descr="Изображение вопросов" title="" id="57" name="Picture"/>
            <a:graphic>
              <a:graphicData uri="http://schemas.openxmlformats.org/drawingml/2006/picture">
                <pic:pic>
                  <pic:nvPicPr>
                    <pic:cNvPr descr="image/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2024-11-19T19:01:36Z</dcterms:created>
  <dcterms:modified xsi:type="dcterms:W3CDTF">2024-11-19T19:01:36Z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