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64E9" w14:textId="4968329D" w:rsidR="009C0F96" w:rsidRPr="00011122" w:rsidRDefault="009C0F96" w:rsidP="009C0F96">
      <w:pPr>
        <w:pStyle w:val="Titre"/>
        <w:pBdr>
          <w:bottom w:val="single" w:sz="8" w:space="4" w:color="404040" w:themeColor="text1" w:themeTint="BF"/>
        </w:pBdr>
        <w:contextualSpacing/>
        <w:rPr>
          <w:rFonts w:asciiTheme="majorHAnsi" w:eastAsiaTheme="majorEastAsia" w:hAnsiTheme="majorHAnsi" w:cstheme="majorBidi"/>
          <w:lang w:bidi="en-US"/>
        </w:rPr>
      </w:pPr>
      <w:r w:rsidRPr="00011122">
        <w:rPr>
          <w:rFonts w:asciiTheme="majorHAnsi" w:eastAsiaTheme="majorEastAsia" w:hAnsiTheme="majorHAnsi" w:cstheme="majorBidi"/>
          <w:lang w:bidi="en-US"/>
        </w:rPr>
        <w:t xml:space="preserve">Sourate </w:t>
      </w:r>
      <w:proofErr w:type="spellStart"/>
      <w:r w:rsidRPr="00011122">
        <w:rPr>
          <w:rFonts w:asciiTheme="majorHAnsi" w:eastAsiaTheme="majorEastAsia" w:hAnsiTheme="majorHAnsi" w:cstheme="majorBidi"/>
          <w:lang w:bidi="en-US"/>
        </w:rPr>
        <w:t>Quraysh</w:t>
      </w:r>
      <w:proofErr w:type="spellEnd"/>
    </w:p>
    <w:p w14:paraId="7C8508E5" w14:textId="77777777" w:rsidR="009C0F96" w:rsidRPr="00011122" w:rsidRDefault="009C0F96" w:rsidP="00B826C1">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xml:space="preserve">« Les </w:t>
      </w:r>
      <w:proofErr w:type="spellStart"/>
      <w:r w:rsidRPr="00011122">
        <w:rPr>
          <w:rFonts w:asciiTheme="majorHAnsi" w:eastAsiaTheme="majorEastAsia" w:hAnsiTheme="majorHAnsi" w:cstheme="majorBidi"/>
          <w:color w:val="auto"/>
          <w:sz w:val="20"/>
          <w:szCs w:val="20"/>
          <w:lang w:val="fr-FR" w:bidi="en-US"/>
        </w:rPr>
        <w:t>Quraysh</w:t>
      </w:r>
      <w:proofErr w:type="spellEnd"/>
      <w:r w:rsidRPr="00011122">
        <w:rPr>
          <w:rFonts w:asciiTheme="majorHAnsi" w:eastAsiaTheme="majorEastAsia" w:hAnsiTheme="majorHAnsi" w:cstheme="majorBidi"/>
          <w:color w:val="auto"/>
          <w:sz w:val="20"/>
          <w:szCs w:val="20"/>
          <w:lang w:val="fr-FR" w:bidi="en-US"/>
        </w:rPr>
        <w:t> » sourate n° 106 - révélée à La Mecque – 4 versets</w:t>
      </w:r>
    </w:p>
    <w:p w14:paraId="1902D9D6" w14:textId="77777777" w:rsidR="008F293D" w:rsidRDefault="008F293D" w:rsidP="009C0F96">
      <w:pPr>
        <w:ind w:firstLine="0"/>
        <w:rPr>
          <w:rFonts w:cstheme="minorHAnsi"/>
          <w:b/>
          <w:bCs/>
        </w:rPr>
      </w:pPr>
    </w:p>
    <w:p w14:paraId="409ABB1A" w14:textId="544B7BB9" w:rsidR="009C0F96" w:rsidRDefault="009C0F96" w:rsidP="009C0F96">
      <w:pPr>
        <w:ind w:firstLine="0"/>
        <w:rPr>
          <w:rFonts w:cstheme="minorHAnsi"/>
          <w:b/>
          <w:bCs/>
        </w:rPr>
      </w:pPr>
    </w:p>
    <w:p w14:paraId="67CDCFC8" w14:textId="77777777" w:rsidR="009C0F96" w:rsidRDefault="009C0F96" w:rsidP="009C0F96">
      <w:pPr>
        <w:ind w:firstLine="0"/>
        <w:rPr>
          <w:rFonts w:cstheme="minorHAnsi"/>
          <w:b/>
          <w:bCs/>
        </w:rPr>
      </w:pPr>
    </w:p>
    <w:p w14:paraId="07A1AA24" w14:textId="77777777" w:rsidR="00F5521C" w:rsidRPr="00F00C70" w:rsidRDefault="00F5521C" w:rsidP="00F5521C">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0E009560" w14:textId="77777777" w:rsidR="00F5521C" w:rsidRDefault="00F5521C" w:rsidP="009C0F96">
      <w:pPr>
        <w:ind w:firstLine="0"/>
        <w:rPr>
          <w:rFonts w:cstheme="minorHAnsi"/>
          <w:b/>
          <w:bCs/>
        </w:rPr>
      </w:pPr>
    </w:p>
    <w:p w14:paraId="5751B47F" w14:textId="30497D56" w:rsidR="00F5521C" w:rsidRPr="00F5521C" w:rsidRDefault="00F5521C" w:rsidP="00224317">
      <w:pPr>
        <w:ind w:firstLine="0"/>
        <w:rPr>
          <w:rFonts w:ascii="Calibri" w:eastAsia="Calibri" w:hAnsi="Calibri" w:cs="Calibri"/>
          <w:lang w:val="fr-BE" w:bidi="fa-IR"/>
        </w:rPr>
      </w:pPr>
      <w:r w:rsidRPr="00F5521C">
        <w:rPr>
          <w:rFonts w:ascii="Calibri" w:eastAsia="Calibri" w:hAnsi="Calibri" w:cs="Calibri"/>
          <w:lang w:val="fr-BE" w:bidi="fa-IR"/>
        </w:rPr>
        <w:t xml:space="preserve">Cette sourate indique aux Qurayshites que Dieu, le Très-Haut, </w:t>
      </w:r>
      <w:r w:rsidR="007C4F87">
        <w:rPr>
          <w:rFonts w:ascii="Calibri" w:eastAsia="Calibri" w:hAnsi="Calibri" w:cs="Calibri"/>
          <w:lang w:val="fr-BE" w:bidi="fa-IR"/>
        </w:rPr>
        <w:t>les</w:t>
      </w:r>
      <w:r w:rsidRPr="00F5521C">
        <w:rPr>
          <w:rFonts w:ascii="Calibri" w:eastAsia="Calibri" w:hAnsi="Calibri" w:cs="Calibri"/>
          <w:lang w:val="fr-BE" w:bidi="fa-IR"/>
        </w:rPr>
        <w:t xml:space="preserve"> a honoré</w:t>
      </w:r>
      <w:r w:rsidR="00A32B64">
        <w:rPr>
          <w:rFonts w:ascii="Calibri" w:eastAsia="Calibri" w:hAnsi="Calibri" w:cs="Calibri"/>
          <w:lang w:val="fr-BE" w:bidi="fa-IR"/>
        </w:rPr>
        <w:t>s</w:t>
      </w:r>
      <w:r w:rsidRPr="00F5521C">
        <w:rPr>
          <w:rFonts w:ascii="Calibri" w:eastAsia="Calibri" w:hAnsi="Calibri" w:cs="Calibri"/>
          <w:lang w:val="fr-BE" w:bidi="fa-IR"/>
        </w:rPr>
        <w:t xml:space="preserve"> grâce à la sécurité et la paix qu’</w:t>
      </w:r>
      <w:r w:rsidR="007C4F87">
        <w:rPr>
          <w:rFonts w:ascii="Calibri" w:eastAsia="Calibri" w:hAnsi="Calibri" w:cs="Calibri"/>
          <w:lang w:val="fr-BE" w:bidi="fa-IR"/>
        </w:rPr>
        <w:t>I</w:t>
      </w:r>
      <w:r w:rsidRPr="00F5521C">
        <w:rPr>
          <w:rFonts w:ascii="Calibri" w:eastAsia="Calibri" w:hAnsi="Calibri" w:cs="Calibri"/>
          <w:lang w:val="fr-BE" w:bidi="fa-IR"/>
        </w:rPr>
        <w:t>l a instaurées à la Mecque, afin qu</w:t>
      </w:r>
      <w:r w:rsidR="007C4F87">
        <w:rPr>
          <w:rFonts w:ascii="Calibri" w:eastAsia="Calibri" w:hAnsi="Calibri" w:cs="Calibri"/>
          <w:lang w:val="fr-BE" w:bidi="fa-IR"/>
        </w:rPr>
        <w:t xml:space="preserve">’ils </w:t>
      </w:r>
      <w:r w:rsidRPr="00F5521C">
        <w:rPr>
          <w:rFonts w:ascii="Calibri" w:eastAsia="Calibri" w:hAnsi="Calibri" w:cs="Calibri"/>
          <w:lang w:val="fr-BE" w:bidi="fa-IR"/>
        </w:rPr>
        <w:t>puiss</w:t>
      </w:r>
      <w:r w:rsidR="007C4F87">
        <w:rPr>
          <w:rFonts w:ascii="Calibri" w:eastAsia="Calibri" w:hAnsi="Calibri" w:cs="Calibri"/>
          <w:lang w:val="fr-BE" w:bidi="fa-IR"/>
        </w:rPr>
        <w:t>ent</w:t>
      </w:r>
      <w:r w:rsidRPr="00F5521C">
        <w:rPr>
          <w:rFonts w:ascii="Calibri" w:eastAsia="Calibri" w:hAnsi="Calibri" w:cs="Calibri"/>
          <w:lang w:val="fr-BE" w:bidi="fa-IR"/>
        </w:rPr>
        <w:t xml:space="preserve"> effectuer </w:t>
      </w:r>
      <w:r w:rsidR="007C4F87">
        <w:rPr>
          <w:rFonts w:ascii="Calibri" w:eastAsia="Calibri" w:hAnsi="Calibri" w:cs="Calibri"/>
          <w:lang w:val="fr-BE" w:bidi="fa-IR"/>
        </w:rPr>
        <w:t>leur</w:t>
      </w:r>
      <w:r w:rsidRPr="00F5521C">
        <w:rPr>
          <w:rFonts w:ascii="Calibri" w:eastAsia="Calibri" w:hAnsi="Calibri" w:cs="Calibri"/>
          <w:lang w:val="fr-BE" w:bidi="fa-IR"/>
        </w:rPr>
        <w:t xml:space="preserve"> migration estivale et hivernale</w:t>
      </w:r>
      <w:r w:rsidR="007C4F87">
        <w:rPr>
          <w:rFonts w:ascii="Calibri" w:eastAsia="Calibri" w:hAnsi="Calibri" w:cs="Calibri"/>
          <w:lang w:val="fr-BE" w:bidi="fa-IR"/>
        </w:rPr>
        <w:t>,</w:t>
      </w:r>
      <w:r w:rsidRPr="00F5521C">
        <w:rPr>
          <w:rFonts w:ascii="Calibri" w:eastAsia="Calibri" w:hAnsi="Calibri" w:cs="Calibri"/>
          <w:lang w:val="fr-BE" w:bidi="fa-IR"/>
        </w:rPr>
        <w:t xml:space="preserve"> à des fins commerciales</w:t>
      </w:r>
      <w:r w:rsidR="007C4F87">
        <w:rPr>
          <w:rFonts w:ascii="Calibri" w:eastAsia="Calibri" w:hAnsi="Calibri" w:cs="Calibri"/>
          <w:lang w:val="fr-BE" w:bidi="fa-IR"/>
        </w:rPr>
        <w:t>,</w:t>
      </w:r>
      <w:r w:rsidRPr="00F5521C">
        <w:rPr>
          <w:rFonts w:ascii="Calibri" w:eastAsia="Calibri" w:hAnsi="Calibri" w:cs="Calibri"/>
          <w:lang w:val="fr-BE" w:bidi="fa-IR"/>
        </w:rPr>
        <w:t xml:space="preserve"> en toute sécurité sans être attaqué</w:t>
      </w:r>
      <w:r w:rsidR="00A32B64">
        <w:rPr>
          <w:rFonts w:ascii="Calibri" w:eastAsia="Calibri" w:hAnsi="Calibri" w:cs="Calibri"/>
          <w:lang w:val="fr-BE" w:bidi="fa-IR"/>
        </w:rPr>
        <w:t>s</w:t>
      </w:r>
      <w:r w:rsidRPr="00F5521C">
        <w:rPr>
          <w:rFonts w:ascii="Calibri" w:eastAsia="Calibri" w:hAnsi="Calibri" w:cs="Calibri"/>
          <w:lang w:val="fr-BE" w:bidi="fa-IR"/>
        </w:rPr>
        <w:t xml:space="preserve"> par des bandits ; puis la sourate les invite au monothéisme et à adorer le Seigneur de la Kaaba, qui les a sauvés de la faim</w:t>
      </w:r>
      <w:r w:rsidR="0070628B">
        <w:rPr>
          <w:rFonts w:ascii="Calibri" w:eastAsia="Calibri" w:hAnsi="Calibri" w:cs="Calibri"/>
          <w:lang w:val="fr-BE" w:bidi="fa-IR"/>
        </w:rPr>
        <w:t xml:space="preserve">, </w:t>
      </w:r>
      <w:r w:rsidRPr="00F5521C">
        <w:rPr>
          <w:rFonts w:ascii="Calibri" w:eastAsia="Calibri" w:hAnsi="Calibri" w:cs="Calibri"/>
          <w:lang w:val="fr-BE" w:bidi="fa-IR"/>
        </w:rPr>
        <w:t xml:space="preserve">de la peur </w:t>
      </w:r>
      <w:r w:rsidR="0070628B">
        <w:rPr>
          <w:rFonts w:ascii="Calibri" w:eastAsia="Calibri" w:hAnsi="Calibri" w:cs="Calibri"/>
          <w:lang w:val="fr-BE" w:bidi="fa-IR"/>
        </w:rPr>
        <w:t xml:space="preserve">et </w:t>
      </w:r>
      <w:r w:rsidRPr="00F5521C">
        <w:rPr>
          <w:rFonts w:ascii="Calibri" w:eastAsia="Calibri" w:hAnsi="Calibri" w:cs="Calibri"/>
          <w:lang w:val="fr-BE" w:bidi="fa-IR"/>
        </w:rPr>
        <w:t>du danger de l'ennemi.</w:t>
      </w:r>
      <w:r>
        <w:rPr>
          <w:rStyle w:val="Appelnotedebasdep"/>
          <w:rFonts w:ascii="Calibri" w:eastAsia="Calibri" w:hAnsi="Calibri" w:cs="Calibri"/>
          <w:lang w:val="fr-BE" w:bidi="fa-IR"/>
        </w:rPr>
        <w:footnoteReference w:id="1"/>
      </w:r>
    </w:p>
    <w:p w14:paraId="052BF6C9" w14:textId="77777777" w:rsidR="00F5521C" w:rsidRDefault="00F5521C" w:rsidP="009C0F96">
      <w:pPr>
        <w:ind w:firstLine="0"/>
        <w:rPr>
          <w:rFonts w:cstheme="minorHAnsi"/>
          <w:b/>
          <w:bCs/>
        </w:rPr>
      </w:pPr>
    </w:p>
    <w:p w14:paraId="30BF855B" w14:textId="70F0FCEF" w:rsidR="00F5521C" w:rsidRDefault="00F5521C" w:rsidP="009C0F96">
      <w:pPr>
        <w:ind w:firstLine="0"/>
        <w:rPr>
          <w:rFonts w:cstheme="minorHAnsi"/>
          <w:b/>
          <w:bCs/>
        </w:rPr>
      </w:pPr>
    </w:p>
    <w:p w14:paraId="3E0D0835" w14:textId="77777777" w:rsidR="009C0F96" w:rsidRDefault="009C0F96" w:rsidP="009C0F96">
      <w:pPr>
        <w:ind w:firstLine="0"/>
        <w:rPr>
          <w:rFonts w:cstheme="minorHAnsi"/>
          <w:b/>
          <w:bCs/>
        </w:rPr>
      </w:pPr>
    </w:p>
    <w:p w14:paraId="19057414" w14:textId="002570E1" w:rsidR="00FA5E65" w:rsidRPr="00AF7084" w:rsidRDefault="00F5521C" w:rsidP="00FA5E65">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bidi="en-US"/>
        </w:rPr>
        <w:t>b</w:t>
      </w:r>
      <w:r w:rsidR="00FA5E65" w:rsidRPr="00AF7084">
        <w:rPr>
          <w:rFonts w:ascii="Calibri" w:eastAsia="Times New Roman" w:hAnsi="Calibri" w:cs="Arial"/>
          <w:b/>
          <w:bCs/>
          <w:sz w:val="20"/>
          <w:szCs w:val="20"/>
          <w:lang w:val="fr-FR" w:bidi="en-US"/>
        </w:rPr>
        <w:t xml:space="preserve">) </w:t>
      </w:r>
      <w:bookmarkStart w:id="2" w:name="_Hlk153522200"/>
      <w:r w:rsidR="00FA5E65" w:rsidRPr="00AF7084">
        <w:rPr>
          <w:rFonts w:ascii="Calibri" w:eastAsia="Times New Roman" w:hAnsi="Calibri" w:cs="Arial"/>
          <w:b/>
          <w:bCs/>
          <w:sz w:val="20"/>
          <w:szCs w:val="20"/>
          <w:lang w:val="fr-FR" w:bidi="en-US"/>
        </w:rPr>
        <w:t>Aperçu du contenu de la sourate</w:t>
      </w:r>
      <w:bookmarkEnd w:id="2"/>
    </w:p>
    <w:p w14:paraId="255BBBD7" w14:textId="77777777" w:rsidR="00FA5E65" w:rsidRDefault="00FA5E65" w:rsidP="009C0F96">
      <w:pPr>
        <w:ind w:firstLine="0"/>
        <w:rPr>
          <w:rFonts w:cstheme="minorHAnsi"/>
          <w:b/>
          <w:bCs/>
        </w:rPr>
      </w:pPr>
    </w:p>
    <w:p w14:paraId="761EE912" w14:textId="77777777" w:rsidR="00FA5E65" w:rsidRPr="00FA5E65" w:rsidRDefault="00FA5E65" w:rsidP="00FA5E65">
      <w:pPr>
        <w:spacing w:after="200" w:line="276" w:lineRule="auto"/>
        <w:ind w:firstLine="0"/>
        <w:rPr>
          <w:rFonts w:ascii="Calibri" w:eastAsia="Times New Roman" w:hAnsi="Calibri" w:cs="Calibri"/>
          <w:lang w:val="fr-FR" w:bidi="en-US"/>
        </w:rPr>
      </w:pPr>
      <w:r w:rsidRPr="00FA5E65">
        <w:rPr>
          <w:rFonts w:ascii="Calibri" w:eastAsia="Times New Roman" w:hAnsi="Calibri" w:cs="Calibri"/>
          <w:lang w:val="fr-FR" w:bidi="en-US"/>
        </w:rPr>
        <w:t>Comme indiqué précédemment, selon l’Imam as-</w:t>
      </w:r>
      <w:proofErr w:type="spellStart"/>
      <w:r w:rsidRPr="00FA5E65">
        <w:rPr>
          <w:rFonts w:ascii="Calibri" w:eastAsia="Times New Roman" w:hAnsi="Calibri" w:cs="Calibri"/>
          <w:lang w:val="fr-FR" w:bidi="en-US"/>
        </w:rPr>
        <w:t>Sàdiq</w:t>
      </w:r>
      <w:proofErr w:type="spellEnd"/>
      <w:r w:rsidRPr="00FA5E65">
        <w:rPr>
          <w:rFonts w:ascii="Calibri" w:eastAsia="Times New Roman" w:hAnsi="Calibri" w:cs="Calibri"/>
          <w:lang w:val="fr-FR" w:bidi="en-US"/>
        </w:rPr>
        <w:t xml:space="preserve"> (a), les sourates al-Fil et </w:t>
      </w:r>
      <w:proofErr w:type="spellStart"/>
      <w:r w:rsidRPr="00FA5E65">
        <w:rPr>
          <w:rFonts w:ascii="Calibri" w:eastAsia="Times New Roman" w:hAnsi="Calibri" w:cs="Calibri"/>
          <w:lang w:val="fr-FR" w:bidi="en-US"/>
        </w:rPr>
        <w:t>Quraysh</w:t>
      </w:r>
      <w:proofErr w:type="spellEnd"/>
      <w:r w:rsidRPr="00FA5E65">
        <w:rPr>
          <w:rFonts w:ascii="Calibri" w:eastAsia="Times New Roman" w:hAnsi="Calibri" w:cs="Calibri"/>
          <w:lang w:val="fr-FR" w:bidi="en-US"/>
        </w:rPr>
        <w:t xml:space="preserve"> ne forment qu’une seule sourate.</w:t>
      </w:r>
      <w:r w:rsidRPr="00FA5E65">
        <w:rPr>
          <w:rFonts w:ascii="Calibri" w:eastAsia="Times New Roman" w:hAnsi="Calibri" w:cs="Calibri"/>
          <w:vertAlign w:val="superscript"/>
          <w:lang w:val="fr-FR" w:bidi="en-US"/>
        </w:rPr>
        <w:footnoteReference w:id="2"/>
      </w:r>
    </w:p>
    <w:p w14:paraId="1AE056B2" w14:textId="0715B45E" w:rsidR="00FA5E65" w:rsidRPr="00FA5E65" w:rsidRDefault="00FA5E65" w:rsidP="00FA5E65">
      <w:pPr>
        <w:spacing w:after="200" w:line="276" w:lineRule="auto"/>
        <w:ind w:firstLine="0"/>
        <w:rPr>
          <w:rFonts w:ascii="Calibri" w:eastAsia="Times New Roman" w:hAnsi="Calibri" w:cs="Calibri"/>
          <w:lang w:val="fr-FR" w:bidi="en-US"/>
        </w:rPr>
      </w:pPr>
      <w:r w:rsidRPr="00FA5E65">
        <w:rPr>
          <w:rFonts w:ascii="Calibri" w:eastAsia="Times New Roman" w:hAnsi="Calibri" w:cs="Calibri"/>
          <w:lang w:val="fr-FR" w:bidi="en-US"/>
        </w:rPr>
        <w:t xml:space="preserve">Et d'ailleurs, si on les lit avec attention, on constate qu'elles se complètent. C’est pourquoi, si l’on veut réciter la sourate al-Fil dans la prière, </w:t>
      </w:r>
      <w:r w:rsidR="00A32B64">
        <w:rPr>
          <w:rFonts w:ascii="Calibri" w:eastAsia="Times New Roman" w:hAnsi="Calibri" w:cs="Calibri"/>
          <w:lang w:val="fr-FR" w:bidi="en-US"/>
        </w:rPr>
        <w:t>sa lecture doit être suivie par celle de</w:t>
      </w:r>
      <w:r w:rsidRPr="00FA5E65">
        <w:rPr>
          <w:rFonts w:ascii="Calibri" w:eastAsia="Times New Roman" w:hAnsi="Calibri" w:cs="Calibri"/>
          <w:lang w:val="fr-FR" w:bidi="en-US"/>
        </w:rPr>
        <w:t xml:space="preserve"> la sourate </w:t>
      </w:r>
      <w:proofErr w:type="spellStart"/>
      <w:r w:rsidRPr="00FA5E65">
        <w:rPr>
          <w:rFonts w:ascii="Calibri" w:eastAsia="Times New Roman" w:hAnsi="Calibri" w:cs="Calibri"/>
          <w:lang w:val="fr-FR" w:bidi="en-US"/>
        </w:rPr>
        <w:t>Quraysh</w:t>
      </w:r>
      <w:proofErr w:type="spellEnd"/>
      <w:r w:rsidRPr="00FA5E65">
        <w:rPr>
          <w:rFonts w:ascii="Calibri" w:eastAsia="Times New Roman" w:hAnsi="Calibri" w:cs="Calibri"/>
          <w:lang w:val="fr-FR" w:bidi="en-US"/>
        </w:rPr>
        <w:t> .</w:t>
      </w:r>
    </w:p>
    <w:p w14:paraId="2B6AA795" w14:textId="0E5A1E71" w:rsidR="00FA5E65" w:rsidRPr="00FA5E65" w:rsidRDefault="00FA5E65" w:rsidP="00FA5E65">
      <w:pPr>
        <w:spacing w:after="200" w:line="276" w:lineRule="auto"/>
        <w:ind w:firstLine="0"/>
        <w:rPr>
          <w:rFonts w:ascii="Calibri" w:eastAsia="Times New Roman" w:hAnsi="Calibri" w:cs="Calibri"/>
          <w:lang w:val="fr-FR" w:bidi="en-US"/>
        </w:rPr>
      </w:pPr>
      <w:bookmarkStart w:id="3" w:name="_Hlk153522156"/>
      <w:r w:rsidRPr="00FA5E65">
        <w:rPr>
          <w:rFonts w:ascii="Calibri" w:eastAsia="Times New Roman" w:hAnsi="Calibri" w:cs="Calibri"/>
          <w:lang w:val="fr-FR" w:bidi="en-US"/>
        </w:rPr>
        <w:t xml:space="preserve">Dans la Sourate al-Fil, il est rappelé aux </w:t>
      </w:r>
      <w:proofErr w:type="spellStart"/>
      <w:r w:rsidRPr="00FA5E65">
        <w:rPr>
          <w:rFonts w:ascii="Calibri" w:eastAsia="Times New Roman" w:hAnsi="Calibri" w:cs="Calibri"/>
          <w:lang w:val="fr-FR" w:bidi="en-US"/>
        </w:rPr>
        <w:t>Quraysh</w:t>
      </w:r>
      <w:proofErr w:type="spellEnd"/>
      <w:r w:rsidR="00803588">
        <w:rPr>
          <w:rStyle w:val="Appelnotedebasdep"/>
          <w:rFonts w:ascii="Calibri" w:eastAsia="Times New Roman" w:hAnsi="Calibri" w:cs="Calibri"/>
          <w:lang w:val="fr-FR" w:bidi="en-US"/>
        </w:rPr>
        <w:footnoteReference w:id="3"/>
      </w:r>
      <w:r w:rsidRPr="00FA5E65">
        <w:rPr>
          <w:rFonts w:ascii="Calibri" w:eastAsia="Times New Roman" w:hAnsi="Calibri" w:cs="Calibri"/>
          <w:lang w:val="fr-FR" w:bidi="en-US"/>
        </w:rPr>
        <w:t xml:space="preserve"> l’évènement grandiose (la protection de la Sainte Kaaba</w:t>
      </w:r>
      <w:r>
        <w:rPr>
          <w:rStyle w:val="Appelnotedebasdep"/>
          <w:rFonts w:ascii="Calibri" w:eastAsia="Times New Roman" w:hAnsi="Calibri" w:cs="Calibri"/>
          <w:lang w:val="fr-FR" w:bidi="en-US"/>
        </w:rPr>
        <w:footnoteReference w:id="4"/>
      </w:r>
      <w:r w:rsidRPr="00FA5E65">
        <w:rPr>
          <w:rFonts w:ascii="Calibri" w:eastAsia="Times New Roman" w:hAnsi="Calibri" w:cs="Calibri"/>
          <w:lang w:val="fr-FR" w:bidi="en-US"/>
        </w:rPr>
        <w:t xml:space="preserve"> par Dieu), afin de les sensibiliser au fait que, sans l’Aide de Dieu, ni la Sainte Kaaba, ni La Mecque, ni eux-mêmes</w:t>
      </w:r>
      <w:r w:rsidR="007C4F87">
        <w:rPr>
          <w:rFonts w:ascii="Calibri" w:eastAsia="Times New Roman" w:hAnsi="Calibri" w:cs="Calibri"/>
          <w:lang w:val="fr-FR" w:bidi="en-US"/>
        </w:rPr>
        <w:t>,</w:t>
      </w:r>
      <w:r w:rsidRPr="00FA5E65">
        <w:rPr>
          <w:rFonts w:ascii="Calibri" w:eastAsia="Times New Roman" w:hAnsi="Calibri" w:cs="Calibri"/>
          <w:lang w:val="fr-FR" w:bidi="en-US"/>
        </w:rPr>
        <w:t xml:space="preserve"> n’existeraient encore :</w:t>
      </w:r>
      <w:bookmarkEnd w:id="3"/>
      <w:r w:rsidRPr="00FA5E65">
        <w:rPr>
          <w:rFonts w:ascii="Calibri" w:eastAsia="Times New Roman" w:hAnsi="Calibri" w:cs="Calibri"/>
          <w:lang w:val="fr-FR" w:bidi="en-US"/>
        </w:rPr>
        <w:t xml:space="preserve"> il est possible que les </w:t>
      </w:r>
      <w:proofErr w:type="spellStart"/>
      <w:r w:rsidRPr="00FA5E65">
        <w:rPr>
          <w:rFonts w:ascii="Calibri" w:eastAsia="Times New Roman" w:hAnsi="Calibri" w:cs="Calibri"/>
          <w:lang w:val="fr-FR" w:bidi="en-US"/>
        </w:rPr>
        <w:t>Quraysh</w:t>
      </w:r>
      <w:proofErr w:type="spellEnd"/>
      <w:r w:rsidRPr="00FA5E65">
        <w:rPr>
          <w:rFonts w:ascii="Calibri" w:eastAsia="Times New Roman" w:hAnsi="Calibri" w:cs="Calibri"/>
          <w:lang w:val="fr-FR" w:bidi="en-US"/>
        </w:rPr>
        <w:t xml:space="preserve"> mettent de côté leur orgueil et acceptent l’invitation du Saint Prophète (s).</w:t>
      </w:r>
    </w:p>
    <w:p w14:paraId="35ABCC75" w14:textId="38DC24C2" w:rsidR="00FA5E65" w:rsidRPr="00FA5E65" w:rsidRDefault="00FA5E65" w:rsidP="00FA5E65">
      <w:pPr>
        <w:spacing w:after="200" w:line="276" w:lineRule="auto"/>
        <w:ind w:firstLine="0"/>
        <w:rPr>
          <w:rFonts w:ascii="Calibri" w:eastAsia="Times New Roman" w:hAnsi="Calibri" w:cs="Calibri"/>
          <w:lang w:val="fr-FR" w:bidi="en-US"/>
        </w:rPr>
      </w:pPr>
      <w:r w:rsidRPr="00FA5E65">
        <w:rPr>
          <w:rFonts w:ascii="Calibri" w:eastAsia="Times New Roman" w:hAnsi="Calibri" w:cs="Calibri"/>
          <w:lang w:val="fr-FR" w:bidi="en-US"/>
        </w:rPr>
        <w:lastRenderedPageBreak/>
        <w:t xml:space="preserve">D’une part, elle comprend une menace pour les </w:t>
      </w:r>
      <w:proofErr w:type="spellStart"/>
      <w:r w:rsidRPr="00FA5E65">
        <w:rPr>
          <w:rFonts w:ascii="Calibri" w:eastAsia="Times New Roman" w:hAnsi="Calibri" w:cs="Calibri"/>
          <w:lang w:val="fr-FR" w:bidi="en-US"/>
        </w:rPr>
        <w:t>Quraysh</w:t>
      </w:r>
      <w:proofErr w:type="spellEnd"/>
      <w:r w:rsidR="007C4F87">
        <w:rPr>
          <w:rFonts w:ascii="Calibri" w:eastAsia="Times New Roman" w:hAnsi="Calibri" w:cs="Calibri"/>
          <w:lang w:val="fr-FR" w:bidi="en-US"/>
        </w:rPr>
        <w:t>,</w:t>
      </w:r>
      <w:r w:rsidRPr="00FA5E65">
        <w:rPr>
          <w:rFonts w:ascii="Calibri" w:eastAsia="Times New Roman" w:hAnsi="Calibri" w:cs="Calibri"/>
          <w:lang w:val="fr-FR" w:bidi="en-US"/>
        </w:rPr>
        <w:t xml:space="preserve"> mais également pour les autres peuples, qui ne pourront jamais se dresser contre la Puissance de Dieu. Il est donc préférable pour eux de se soumettre (Sourate al-Fil).</w:t>
      </w:r>
    </w:p>
    <w:p w14:paraId="1ACF695E" w14:textId="376815E5" w:rsidR="00FA5E65" w:rsidRPr="00FA5E65" w:rsidRDefault="00FA5E65" w:rsidP="00FA5E65">
      <w:pPr>
        <w:spacing w:after="200" w:line="276" w:lineRule="auto"/>
        <w:ind w:firstLine="0"/>
        <w:rPr>
          <w:rFonts w:ascii="Calibri" w:eastAsia="Times New Roman" w:hAnsi="Calibri" w:cs="Calibri"/>
          <w:lang w:val="fr-FR" w:bidi="en-US"/>
        </w:rPr>
      </w:pPr>
      <w:r w:rsidRPr="00FA5E65">
        <w:rPr>
          <w:rFonts w:ascii="Calibri" w:eastAsia="Times New Roman" w:hAnsi="Calibri" w:cs="Calibri"/>
          <w:lang w:val="fr-FR" w:bidi="en-US"/>
        </w:rPr>
        <w:t xml:space="preserve">D’autre part, Dieu présente Ses Bienfaits et Sa Grâce aux </w:t>
      </w:r>
      <w:proofErr w:type="spellStart"/>
      <w:r w:rsidRPr="00FA5E65">
        <w:rPr>
          <w:rFonts w:ascii="Calibri" w:eastAsia="Times New Roman" w:hAnsi="Calibri" w:cs="Calibri"/>
          <w:lang w:val="fr-FR" w:bidi="en-US"/>
        </w:rPr>
        <w:t>Quraysh</w:t>
      </w:r>
      <w:proofErr w:type="spellEnd"/>
      <w:r w:rsidRPr="00FA5E65">
        <w:rPr>
          <w:rFonts w:ascii="Calibri" w:eastAsia="Times New Roman" w:hAnsi="Calibri" w:cs="Calibri"/>
          <w:lang w:val="fr-FR" w:bidi="en-US"/>
        </w:rPr>
        <w:t xml:space="preserve">, afin qu’ils sentent la nécessité de remercier Dieu, et qu'ils se soumettent à Lui (Sourate </w:t>
      </w:r>
      <w:proofErr w:type="spellStart"/>
      <w:r w:rsidRPr="00FA5E65">
        <w:rPr>
          <w:rFonts w:ascii="Calibri" w:eastAsia="Times New Roman" w:hAnsi="Calibri" w:cs="Calibri"/>
          <w:lang w:val="fr-FR" w:bidi="en-US"/>
        </w:rPr>
        <w:t>Quraysh</w:t>
      </w:r>
      <w:proofErr w:type="spellEnd"/>
      <w:r w:rsidRPr="00FA5E65">
        <w:rPr>
          <w:rFonts w:ascii="Calibri" w:eastAsia="Times New Roman" w:hAnsi="Calibri" w:cs="Calibri"/>
          <w:lang w:val="fr-FR" w:bidi="en-US"/>
        </w:rPr>
        <w:t>).</w:t>
      </w:r>
      <w:r w:rsidR="00F5521C">
        <w:rPr>
          <w:rStyle w:val="Appelnotedebasdep"/>
          <w:rFonts w:ascii="Calibri" w:eastAsia="Times New Roman" w:hAnsi="Calibri" w:cs="Calibri"/>
          <w:lang w:val="fr-FR" w:bidi="en-US"/>
        </w:rPr>
        <w:footnoteReference w:id="5"/>
      </w:r>
      <w:r w:rsidRPr="00FA5E65">
        <w:rPr>
          <w:rFonts w:ascii="Calibri" w:eastAsia="Times New Roman" w:hAnsi="Calibri" w:cs="Calibri"/>
          <w:lang w:val="fr-FR" w:bidi="en-US"/>
        </w:rPr>
        <w:t xml:space="preserve"> </w:t>
      </w:r>
    </w:p>
    <w:p w14:paraId="3B9E92F2" w14:textId="77777777" w:rsidR="00FA5E65" w:rsidRDefault="00FA5E65" w:rsidP="009C0F96">
      <w:pPr>
        <w:ind w:firstLine="0"/>
        <w:rPr>
          <w:rFonts w:cstheme="minorHAnsi"/>
          <w:b/>
          <w:bCs/>
        </w:rPr>
      </w:pPr>
    </w:p>
    <w:p w14:paraId="667B345E" w14:textId="77777777" w:rsidR="0065627F" w:rsidRDefault="0065627F" w:rsidP="009C0F96">
      <w:pPr>
        <w:ind w:firstLine="0"/>
        <w:rPr>
          <w:rFonts w:cstheme="minorHAnsi"/>
          <w:b/>
          <w:bCs/>
        </w:rPr>
      </w:pPr>
    </w:p>
    <w:p w14:paraId="2C9AF6D1" w14:textId="77777777" w:rsidR="0065627F" w:rsidRDefault="0065627F" w:rsidP="009C0F96">
      <w:pPr>
        <w:ind w:firstLine="0"/>
        <w:rPr>
          <w:rFonts w:cstheme="minorHAnsi"/>
          <w:b/>
          <w:bCs/>
        </w:rPr>
      </w:pPr>
    </w:p>
    <w:p w14:paraId="53F0A92A" w14:textId="77777777" w:rsidR="00FA5E65" w:rsidRDefault="00FA5E65" w:rsidP="009C0F96">
      <w:pPr>
        <w:ind w:firstLine="0"/>
        <w:rPr>
          <w:rFonts w:cstheme="minorHAnsi"/>
          <w:b/>
          <w:bCs/>
        </w:rPr>
      </w:pPr>
    </w:p>
    <w:p w14:paraId="162A2F97" w14:textId="67B1FC8D" w:rsidR="00FA5E65" w:rsidRPr="00FA5E65" w:rsidRDefault="00F5521C" w:rsidP="00FA5E65">
      <w:pPr>
        <w:spacing w:after="200" w:line="276" w:lineRule="auto"/>
        <w:ind w:firstLine="0"/>
        <w:rPr>
          <w:rFonts w:ascii="Calibri" w:eastAsia="Times New Roman" w:hAnsi="Calibri" w:cs="Arial"/>
          <w:b/>
          <w:bCs/>
          <w:sz w:val="20"/>
          <w:szCs w:val="20"/>
          <w:lang w:val="fr-FR"/>
        </w:rPr>
      </w:pPr>
      <w:bookmarkStart w:id="7" w:name="_Hlk153521697"/>
      <w:r>
        <w:rPr>
          <w:rFonts w:ascii="Calibri" w:eastAsia="Times New Roman" w:hAnsi="Calibri" w:cs="Arial"/>
          <w:b/>
          <w:bCs/>
          <w:sz w:val="20"/>
          <w:szCs w:val="20"/>
          <w:lang w:val="fr-FR"/>
        </w:rPr>
        <w:t>c</w:t>
      </w:r>
      <w:r w:rsidR="00FA5E65" w:rsidRPr="00FA5E65">
        <w:rPr>
          <w:rFonts w:ascii="Calibri" w:eastAsia="Times New Roman" w:hAnsi="Calibri" w:cs="Arial"/>
          <w:b/>
          <w:bCs/>
          <w:sz w:val="20"/>
          <w:szCs w:val="20"/>
          <w:lang w:val="fr-FR"/>
        </w:rPr>
        <w:t xml:space="preserve">) Bienfaits de la récitation </w:t>
      </w:r>
    </w:p>
    <w:p w14:paraId="6B70605C" w14:textId="77777777" w:rsidR="00FA5E65" w:rsidRPr="00FA5E65" w:rsidRDefault="00FA5E65" w:rsidP="00FA5E65">
      <w:pPr>
        <w:spacing w:after="200" w:line="276" w:lineRule="auto"/>
        <w:ind w:firstLine="0"/>
        <w:rPr>
          <w:rFonts w:ascii="Calibri" w:eastAsia="Times New Roman" w:hAnsi="Calibri" w:cs="Arial"/>
          <w:b/>
          <w:bCs/>
          <w:sz w:val="20"/>
          <w:szCs w:val="20"/>
          <w:lang w:val="fr-FR"/>
        </w:rPr>
      </w:pPr>
    </w:p>
    <w:p w14:paraId="512DA594" w14:textId="1F5C9BF9" w:rsidR="00FA5E65" w:rsidRPr="00FA5E65" w:rsidRDefault="00FA5E65" w:rsidP="00FA5E65">
      <w:pPr>
        <w:spacing w:after="200" w:line="276" w:lineRule="auto"/>
        <w:ind w:firstLine="0"/>
        <w:rPr>
          <w:rFonts w:ascii="Calibri" w:eastAsia="Times New Roman" w:hAnsi="Calibri" w:cs="Calibri"/>
          <w:lang w:val="fr-FR" w:bidi="en-US"/>
        </w:rPr>
      </w:pPr>
      <w:r w:rsidRPr="00FA5E65">
        <w:rPr>
          <w:rFonts w:ascii="Calibri" w:eastAsia="Times New Roman" w:hAnsi="Calibri" w:cs="Calibri"/>
          <w:lang w:val="fr-FR" w:bidi="en-US"/>
        </w:rPr>
        <w:t xml:space="preserve">Selon le Saint Prophète (s), celui qui récite la sourate </w:t>
      </w:r>
      <w:proofErr w:type="spellStart"/>
      <w:r w:rsidRPr="00FA5E65">
        <w:rPr>
          <w:rFonts w:ascii="Calibri" w:eastAsia="Times New Roman" w:hAnsi="Calibri" w:cs="Calibri"/>
          <w:lang w:val="fr-FR" w:bidi="en-US"/>
        </w:rPr>
        <w:t>Quraysh</w:t>
      </w:r>
      <w:proofErr w:type="spellEnd"/>
      <w:r w:rsidRPr="00FA5E65">
        <w:rPr>
          <w:rFonts w:ascii="Calibri" w:eastAsia="Times New Roman" w:hAnsi="Calibri" w:cs="Calibri"/>
          <w:lang w:val="fr-FR" w:bidi="en-US"/>
        </w:rPr>
        <w:t xml:space="preserve"> recevra dix récompenses pour chaque personne qui réalise la circumambulation</w:t>
      </w:r>
      <w:r w:rsidR="0065627F">
        <w:rPr>
          <w:rStyle w:val="Appelnotedebasdep"/>
          <w:rFonts w:ascii="Calibri" w:eastAsia="Times New Roman" w:hAnsi="Calibri" w:cs="Calibri"/>
          <w:lang w:val="fr-FR" w:bidi="en-US"/>
        </w:rPr>
        <w:footnoteReference w:id="6"/>
      </w:r>
      <w:r w:rsidRPr="00FA5E65">
        <w:rPr>
          <w:rFonts w:ascii="Calibri" w:eastAsia="Times New Roman" w:hAnsi="Calibri" w:cs="Calibri"/>
          <w:lang w:val="fr-FR" w:bidi="en-US"/>
        </w:rPr>
        <w:t xml:space="preserve"> de la Sainte Kaaba, ou pour chaque personne qui y stationne (halte rituelle ou </w:t>
      </w:r>
      <w:proofErr w:type="spellStart"/>
      <w:r w:rsidR="0065627F">
        <w:rPr>
          <w:rFonts w:ascii="Calibri" w:eastAsia="Times New Roman" w:hAnsi="Calibri" w:cs="Calibri"/>
          <w:lang w:bidi="en-US"/>
        </w:rPr>
        <w:t>é</w:t>
      </w:r>
      <w:r>
        <w:rPr>
          <w:rFonts w:ascii="Calibri" w:eastAsia="Times New Roman" w:hAnsi="Calibri" w:cs="Calibri"/>
          <w:lang w:bidi="en-US"/>
        </w:rPr>
        <w:t>htiqaaf</w:t>
      </w:r>
      <w:bookmarkEnd w:id="7"/>
      <w:proofErr w:type="spellEnd"/>
      <w:r w:rsidR="0065627F">
        <w:rPr>
          <w:rStyle w:val="Appelnotedebasdep"/>
          <w:rFonts w:ascii="Calibri" w:eastAsia="Times New Roman" w:hAnsi="Calibri" w:cs="Calibri"/>
          <w:lang w:bidi="en-US"/>
        </w:rPr>
        <w:footnoteReference w:id="7"/>
      </w:r>
      <w:r w:rsidRPr="00FA5E65">
        <w:rPr>
          <w:rFonts w:ascii="Calibri" w:eastAsia="Times New Roman" w:hAnsi="Calibri" w:cs="Calibri"/>
          <w:lang w:val="fr-FR" w:bidi="en-US"/>
        </w:rPr>
        <w:t>).</w:t>
      </w:r>
      <w:r w:rsidRPr="00FA5E65">
        <w:rPr>
          <w:rFonts w:ascii="Calibri" w:eastAsia="Times New Roman" w:hAnsi="Calibri" w:cs="Calibri"/>
          <w:vertAlign w:val="superscript"/>
          <w:lang w:val="fr-FR" w:bidi="en-US"/>
        </w:rPr>
        <w:footnoteReference w:id="8"/>
      </w:r>
    </w:p>
    <w:p w14:paraId="357D10AA" w14:textId="77777777" w:rsidR="00FA5E65" w:rsidRDefault="00FA5E65" w:rsidP="00FA5E65">
      <w:pPr>
        <w:ind w:firstLine="0"/>
        <w:rPr>
          <w:rFonts w:eastAsiaTheme="minorEastAsia"/>
          <w:b/>
          <w:bCs/>
          <w:sz w:val="20"/>
          <w:szCs w:val="20"/>
          <w:lang w:val="fr-FR" w:bidi="en-US"/>
        </w:rPr>
      </w:pPr>
    </w:p>
    <w:p w14:paraId="27705A20" w14:textId="77777777" w:rsidR="00FA5E65" w:rsidRDefault="00FA5E65" w:rsidP="00FA5E65">
      <w:pPr>
        <w:ind w:firstLine="0"/>
        <w:rPr>
          <w:rFonts w:eastAsiaTheme="minorEastAsia"/>
          <w:b/>
          <w:bCs/>
          <w:sz w:val="20"/>
          <w:szCs w:val="20"/>
          <w:lang w:val="fr-FR" w:bidi="en-US"/>
        </w:rPr>
      </w:pPr>
    </w:p>
    <w:p w14:paraId="1D806F7C" w14:textId="77777777" w:rsidR="00FA5E65" w:rsidRDefault="00FA5E65" w:rsidP="00FA5E65">
      <w:pPr>
        <w:ind w:firstLine="0"/>
        <w:rPr>
          <w:rFonts w:eastAsiaTheme="minorEastAsia"/>
          <w:b/>
          <w:bCs/>
          <w:sz w:val="20"/>
          <w:szCs w:val="20"/>
          <w:lang w:val="fr-FR" w:bidi="en-US"/>
        </w:rPr>
      </w:pPr>
    </w:p>
    <w:p w14:paraId="3842AEF6" w14:textId="5C3FAB43" w:rsidR="00FA5E65" w:rsidRPr="00011122" w:rsidRDefault="00F5521C" w:rsidP="00FA5E65">
      <w:pPr>
        <w:ind w:firstLine="0"/>
        <w:rPr>
          <w:b/>
          <w:bCs/>
          <w:sz w:val="20"/>
          <w:szCs w:val="20"/>
          <w:lang w:val="fr-FR"/>
        </w:rPr>
      </w:pPr>
      <w:r>
        <w:rPr>
          <w:rFonts w:eastAsiaTheme="minorEastAsia"/>
          <w:b/>
          <w:bCs/>
          <w:sz w:val="20"/>
          <w:szCs w:val="20"/>
          <w:lang w:val="fr-FR" w:bidi="en-US"/>
        </w:rPr>
        <w:t>d</w:t>
      </w:r>
      <w:r w:rsidR="00FA5E65" w:rsidRPr="00011122">
        <w:rPr>
          <w:rFonts w:eastAsiaTheme="minorEastAsia"/>
          <w:b/>
          <w:bCs/>
          <w:sz w:val="20"/>
          <w:szCs w:val="20"/>
          <w:lang w:val="fr-FR" w:bidi="en-US"/>
        </w:rPr>
        <w:t>) Exégèse et commentaire de la sourate</w:t>
      </w:r>
    </w:p>
    <w:p w14:paraId="7E2517F6" w14:textId="77777777" w:rsidR="000C5C3A" w:rsidRDefault="000C5C3A" w:rsidP="00FB67AC">
      <w:pPr>
        <w:ind w:firstLine="0"/>
        <w:rPr>
          <w:rFonts w:cstheme="minorHAnsi"/>
          <w:i/>
          <w:iCs/>
          <w:lang w:bidi="fa-IR"/>
        </w:rPr>
      </w:pPr>
    </w:p>
    <w:p w14:paraId="539ABF55" w14:textId="77777777" w:rsidR="005A132C" w:rsidRDefault="005A132C" w:rsidP="00FB67AC">
      <w:pPr>
        <w:ind w:firstLine="0"/>
        <w:rPr>
          <w:rFonts w:cstheme="minorHAnsi"/>
          <w:i/>
          <w:iCs/>
          <w:lang w:bidi="fa-IR"/>
        </w:rPr>
      </w:pPr>
    </w:p>
    <w:p w14:paraId="30D4CC9A" w14:textId="77777777" w:rsidR="005A132C" w:rsidRDefault="005A132C" w:rsidP="005A132C">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6ECBA7B" w14:textId="77777777" w:rsidR="005A132C" w:rsidRPr="00FB67AC" w:rsidRDefault="005A132C" w:rsidP="005A132C">
      <w:pPr>
        <w:ind w:firstLine="0"/>
        <w:jc w:val="right"/>
        <w:rPr>
          <w:rFonts w:cstheme="minorHAnsi"/>
          <w:i/>
          <w:iCs/>
          <w:lang w:bidi="fa-IR"/>
        </w:rPr>
      </w:pPr>
    </w:p>
    <w:p w14:paraId="70153B7D" w14:textId="77777777" w:rsidR="000C5C3A" w:rsidRDefault="000C5C3A" w:rsidP="000C5C3A">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198FF5C6" w14:textId="77777777" w:rsidR="005A132C" w:rsidRDefault="005A132C" w:rsidP="00FB67AC">
      <w:pPr>
        <w:ind w:firstLine="0"/>
        <w:rPr>
          <w:rFonts w:cstheme="minorHAnsi"/>
          <w:i/>
          <w:iCs/>
          <w:lang w:bidi="fa-IR"/>
        </w:rPr>
      </w:pPr>
    </w:p>
    <w:p w14:paraId="0738C514" w14:textId="77777777" w:rsidR="005A132C" w:rsidRPr="005A132C" w:rsidRDefault="005A132C" w:rsidP="005A132C">
      <w:pPr>
        <w:spacing w:before="100" w:beforeAutospacing="1" w:after="100" w:afterAutospacing="1" w:line="240" w:lineRule="auto"/>
        <w:ind w:firstLine="0"/>
        <w:jc w:val="right"/>
        <w:rPr>
          <w:rFonts w:ascii="Arial" w:eastAsia="Times New Roman" w:hAnsi="Arial" w:cs="Arial"/>
          <w:sz w:val="20"/>
          <w:szCs w:val="20"/>
          <w:lang w:val="fr-FR" w:eastAsia="fr-FR"/>
        </w:rPr>
      </w:pPr>
      <w:proofErr w:type="spellStart"/>
      <w:r w:rsidRPr="005A132C">
        <w:rPr>
          <w:rFonts w:ascii="Arial" w:eastAsia="Times New Roman" w:hAnsi="Arial" w:cs="KFGQPC Uthmanic Script HAFS"/>
          <w:sz w:val="36"/>
          <w:szCs w:val="36"/>
          <w:shd w:val="clear" w:color="auto" w:fill="FFFFFF"/>
          <w:rtl/>
          <w:lang w:val="fr-FR" w:eastAsia="fr-FR"/>
        </w:rPr>
        <w:t>لِإِيلَٰفِ</w:t>
      </w:r>
      <w:proofErr w:type="spellEnd"/>
      <w:r w:rsidRPr="005A132C">
        <w:rPr>
          <w:rFonts w:ascii="Arial" w:eastAsia="Times New Roman" w:hAnsi="Arial" w:cs="KFGQPC Uthmanic Script HAFS"/>
          <w:sz w:val="36"/>
          <w:szCs w:val="36"/>
          <w:shd w:val="clear" w:color="auto" w:fill="FFFFFF"/>
          <w:rtl/>
          <w:lang w:val="fr-FR" w:eastAsia="fr-FR"/>
        </w:rPr>
        <w:t xml:space="preserve"> قُرَيۡشٍ١ </w:t>
      </w:r>
      <w:proofErr w:type="spellStart"/>
      <w:r w:rsidRPr="005A132C">
        <w:rPr>
          <w:rFonts w:ascii="Arial" w:eastAsia="Times New Roman" w:hAnsi="Arial" w:cs="KFGQPC Uthmanic Script HAFS"/>
          <w:sz w:val="36"/>
          <w:szCs w:val="36"/>
          <w:shd w:val="clear" w:color="auto" w:fill="FFFFFF"/>
          <w:rtl/>
          <w:lang w:val="fr-FR" w:eastAsia="fr-FR"/>
        </w:rPr>
        <w:t>إِۦلَٰفِهِمۡ</w:t>
      </w:r>
      <w:proofErr w:type="spellEnd"/>
      <w:r w:rsidRPr="005A132C">
        <w:rPr>
          <w:rFonts w:ascii="Arial" w:eastAsia="Times New Roman" w:hAnsi="Arial" w:cs="KFGQPC Uthmanic Script HAFS"/>
          <w:sz w:val="36"/>
          <w:szCs w:val="36"/>
          <w:shd w:val="clear" w:color="auto" w:fill="FFFFFF"/>
          <w:rtl/>
          <w:lang w:val="fr-FR" w:eastAsia="fr-FR"/>
        </w:rPr>
        <w:t xml:space="preserve"> </w:t>
      </w:r>
      <w:proofErr w:type="spellStart"/>
      <w:r w:rsidRPr="005A132C">
        <w:rPr>
          <w:rFonts w:ascii="Arial" w:eastAsia="Times New Roman" w:hAnsi="Arial" w:cs="KFGQPC Uthmanic Script HAFS"/>
          <w:sz w:val="36"/>
          <w:szCs w:val="36"/>
          <w:shd w:val="clear" w:color="auto" w:fill="FFFFFF"/>
          <w:rtl/>
          <w:lang w:val="fr-FR" w:eastAsia="fr-FR"/>
        </w:rPr>
        <w:t>رِحۡلَةَ</w:t>
      </w:r>
      <w:proofErr w:type="spellEnd"/>
      <w:r w:rsidRPr="005A132C">
        <w:rPr>
          <w:rFonts w:ascii="Arial" w:eastAsia="Times New Roman" w:hAnsi="Arial" w:cs="KFGQPC Uthmanic Script HAFS"/>
          <w:sz w:val="36"/>
          <w:szCs w:val="36"/>
          <w:shd w:val="clear" w:color="auto" w:fill="FFFFFF"/>
          <w:rtl/>
          <w:lang w:val="fr-FR" w:eastAsia="fr-FR"/>
        </w:rPr>
        <w:t xml:space="preserve"> </w:t>
      </w:r>
      <w:proofErr w:type="spellStart"/>
      <w:r w:rsidRPr="005A132C">
        <w:rPr>
          <w:rFonts w:ascii="Arial" w:eastAsia="Times New Roman" w:hAnsi="Arial" w:cs="KFGQPC Uthmanic Script HAFS"/>
          <w:sz w:val="36"/>
          <w:szCs w:val="36"/>
          <w:shd w:val="clear" w:color="auto" w:fill="FFFFFF"/>
          <w:rtl/>
          <w:lang w:val="fr-FR" w:eastAsia="fr-FR"/>
        </w:rPr>
        <w:t>ٱلشِّتَآءِ</w:t>
      </w:r>
      <w:proofErr w:type="spellEnd"/>
      <w:r w:rsidRPr="005A132C">
        <w:rPr>
          <w:rFonts w:ascii="Arial" w:eastAsia="Times New Roman" w:hAnsi="Arial" w:cs="KFGQPC Uthmanic Script HAFS"/>
          <w:sz w:val="36"/>
          <w:szCs w:val="36"/>
          <w:shd w:val="clear" w:color="auto" w:fill="FFFFFF"/>
          <w:rtl/>
          <w:lang w:val="fr-FR" w:eastAsia="fr-FR"/>
        </w:rPr>
        <w:t xml:space="preserve"> وَٱلصَّيۡفِ٢ </w:t>
      </w:r>
      <w:proofErr w:type="spellStart"/>
      <w:r w:rsidRPr="005A132C">
        <w:rPr>
          <w:rFonts w:ascii="Arial" w:eastAsia="Times New Roman" w:hAnsi="Arial" w:cs="KFGQPC Uthmanic Script HAFS"/>
          <w:sz w:val="36"/>
          <w:szCs w:val="36"/>
          <w:shd w:val="clear" w:color="auto" w:fill="FFFFFF"/>
          <w:rtl/>
          <w:lang w:val="fr-FR" w:eastAsia="fr-FR"/>
        </w:rPr>
        <w:t>فَلۡيَعۡبُدُواْ</w:t>
      </w:r>
      <w:proofErr w:type="spellEnd"/>
      <w:r w:rsidRPr="005A132C">
        <w:rPr>
          <w:rFonts w:ascii="Arial" w:eastAsia="Times New Roman" w:hAnsi="Arial" w:cs="KFGQPC Uthmanic Script HAFS"/>
          <w:sz w:val="36"/>
          <w:szCs w:val="36"/>
          <w:shd w:val="clear" w:color="auto" w:fill="FFFFFF"/>
          <w:rtl/>
          <w:lang w:val="fr-FR" w:eastAsia="fr-FR"/>
        </w:rPr>
        <w:t xml:space="preserve"> رَبَّ هَٰذَا ٱلۡبَيۡتِ٣ </w:t>
      </w:r>
      <w:proofErr w:type="spellStart"/>
      <w:r w:rsidRPr="005A132C">
        <w:rPr>
          <w:rFonts w:ascii="Arial" w:eastAsia="Times New Roman" w:hAnsi="Arial" w:cs="KFGQPC Uthmanic Script HAFS"/>
          <w:sz w:val="36"/>
          <w:szCs w:val="36"/>
          <w:shd w:val="clear" w:color="auto" w:fill="FFFFFF"/>
          <w:rtl/>
          <w:lang w:val="fr-FR" w:eastAsia="fr-FR"/>
        </w:rPr>
        <w:t>ٱلَّذِيٓ</w:t>
      </w:r>
      <w:proofErr w:type="spellEnd"/>
      <w:r w:rsidRPr="005A132C">
        <w:rPr>
          <w:rFonts w:ascii="Arial" w:eastAsia="Times New Roman" w:hAnsi="Arial" w:cs="KFGQPC Uthmanic Script HAFS"/>
          <w:sz w:val="36"/>
          <w:szCs w:val="36"/>
          <w:shd w:val="clear" w:color="auto" w:fill="FFFFFF"/>
          <w:rtl/>
          <w:lang w:val="fr-FR" w:eastAsia="fr-FR"/>
        </w:rPr>
        <w:t xml:space="preserve"> </w:t>
      </w:r>
      <w:proofErr w:type="spellStart"/>
      <w:r w:rsidRPr="005A132C">
        <w:rPr>
          <w:rFonts w:ascii="Arial" w:eastAsia="Times New Roman" w:hAnsi="Arial" w:cs="KFGQPC Uthmanic Script HAFS"/>
          <w:sz w:val="36"/>
          <w:szCs w:val="36"/>
          <w:shd w:val="clear" w:color="auto" w:fill="FFFFFF"/>
          <w:rtl/>
          <w:lang w:val="fr-FR" w:eastAsia="fr-FR"/>
        </w:rPr>
        <w:t>أَطۡعَمَهُم</w:t>
      </w:r>
      <w:proofErr w:type="spellEnd"/>
      <w:r w:rsidRPr="005A132C">
        <w:rPr>
          <w:rFonts w:ascii="Arial" w:eastAsia="Times New Roman" w:hAnsi="Arial" w:cs="KFGQPC Uthmanic Script HAFS"/>
          <w:sz w:val="36"/>
          <w:szCs w:val="36"/>
          <w:shd w:val="clear" w:color="auto" w:fill="FFFFFF"/>
          <w:rtl/>
          <w:lang w:val="fr-FR" w:eastAsia="fr-FR"/>
        </w:rPr>
        <w:t xml:space="preserve"> مِّن جُوعٖ </w:t>
      </w:r>
      <w:proofErr w:type="spellStart"/>
      <w:r w:rsidRPr="005A132C">
        <w:rPr>
          <w:rFonts w:ascii="Arial" w:eastAsia="Times New Roman" w:hAnsi="Arial" w:cs="KFGQPC Uthmanic Script HAFS"/>
          <w:sz w:val="36"/>
          <w:szCs w:val="36"/>
          <w:shd w:val="clear" w:color="auto" w:fill="FFFFFF"/>
          <w:rtl/>
          <w:lang w:val="fr-FR" w:eastAsia="fr-FR"/>
        </w:rPr>
        <w:t>وَءَامَنَهُم</w:t>
      </w:r>
      <w:proofErr w:type="spellEnd"/>
      <w:r w:rsidRPr="005A132C">
        <w:rPr>
          <w:rFonts w:ascii="Arial" w:eastAsia="Times New Roman" w:hAnsi="Arial" w:cs="KFGQPC Uthmanic Script HAFS"/>
          <w:sz w:val="36"/>
          <w:szCs w:val="36"/>
          <w:shd w:val="clear" w:color="auto" w:fill="FFFFFF"/>
          <w:rtl/>
          <w:lang w:val="fr-FR" w:eastAsia="fr-FR"/>
        </w:rPr>
        <w:t xml:space="preserve"> </w:t>
      </w:r>
      <w:proofErr w:type="spellStart"/>
      <w:r w:rsidRPr="005A132C">
        <w:rPr>
          <w:rFonts w:ascii="Arial" w:eastAsia="Times New Roman" w:hAnsi="Arial" w:cs="KFGQPC Uthmanic Script HAFS"/>
          <w:sz w:val="36"/>
          <w:szCs w:val="36"/>
          <w:shd w:val="clear" w:color="auto" w:fill="FFFFFF"/>
          <w:rtl/>
          <w:lang w:val="fr-FR" w:eastAsia="fr-FR"/>
        </w:rPr>
        <w:t>مِّنۡ</w:t>
      </w:r>
      <w:proofErr w:type="spellEnd"/>
      <w:r w:rsidRPr="005A132C">
        <w:rPr>
          <w:rFonts w:ascii="Arial" w:eastAsia="Times New Roman" w:hAnsi="Arial" w:cs="KFGQPC Uthmanic Script HAFS"/>
          <w:sz w:val="36"/>
          <w:szCs w:val="36"/>
          <w:shd w:val="clear" w:color="auto" w:fill="FFFFFF"/>
          <w:rtl/>
          <w:lang w:val="fr-FR" w:eastAsia="fr-FR"/>
        </w:rPr>
        <w:t xml:space="preserve"> خَوۡفِۢ٤ </w:t>
      </w:r>
    </w:p>
    <w:p w14:paraId="27ED34C2" w14:textId="77777777" w:rsidR="005A132C" w:rsidRPr="005A132C" w:rsidRDefault="005A132C" w:rsidP="005A132C">
      <w:pPr>
        <w:ind w:firstLine="0"/>
        <w:jc w:val="right"/>
        <w:rPr>
          <w:lang w:val="fr-FR"/>
        </w:rPr>
      </w:pPr>
    </w:p>
    <w:p w14:paraId="69609D7E" w14:textId="77777777" w:rsidR="005A132C" w:rsidRPr="00FB67AC" w:rsidRDefault="005A132C" w:rsidP="005A132C">
      <w:pPr>
        <w:ind w:firstLine="0"/>
        <w:jc w:val="right"/>
        <w:rPr>
          <w:rFonts w:cstheme="minorHAnsi"/>
          <w:i/>
          <w:iCs/>
          <w:lang w:bidi="fa-IR"/>
        </w:rPr>
      </w:pPr>
    </w:p>
    <w:p w14:paraId="5B61A39E" w14:textId="2668DBBE" w:rsidR="00346F30" w:rsidRPr="00346F30" w:rsidRDefault="00346F30" w:rsidP="00FB67AC">
      <w:pPr>
        <w:ind w:firstLine="0"/>
        <w:rPr>
          <w:rFonts w:cstheme="minorHAnsi"/>
          <w:b/>
          <w:bCs/>
          <w:i/>
          <w:iCs/>
          <w:sz w:val="20"/>
          <w:szCs w:val="20"/>
          <w:lang w:bidi="fa-IR"/>
        </w:rPr>
      </w:pPr>
      <w:r w:rsidRPr="00346F30">
        <w:rPr>
          <w:rFonts w:cstheme="minorHAnsi"/>
          <w:b/>
          <w:bCs/>
          <w:i/>
          <w:iCs/>
          <w:sz w:val="20"/>
          <w:szCs w:val="20"/>
          <w:lang w:bidi="fa-IR"/>
        </w:rPr>
        <w:t xml:space="preserve">1- </w:t>
      </w:r>
      <w:r w:rsidR="008F293D" w:rsidRPr="00346F30">
        <w:rPr>
          <w:rFonts w:cstheme="minorHAnsi"/>
          <w:b/>
          <w:bCs/>
          <w:i/>
          <w:iCs/>
          <w:sz w:val="20"/>
          <w:szCs w:val="20"/>
          <w:lang w:bidi="fa-IR"/>
        </w:rPr>
        <w:t xml:space="preserve">A cause du pacte des </w:t>
      </w:r>
      <w:proofErr w:type="spellStart"/>
      <w:r w:rsidR="008F293D" w:rsidRPr="00346F30">
        <w:rPr>
          <w:rFonts w:cstheme="minorHAnsi"/>
          <w:b/>
          <w:bCs/>
          <w:i/>
          <w:iCs/>
          <w:sz w:val="20"/>
          <w:szCs w:val="20"/>
          <w:lang w:bidi="fa-IR"/>
        </w:rPr>
        <w:t>Quray</w:t>
      </w:r>
      <w:r w:rsidR="000167B1">
        <w:rPr>
          <w:rFonts w:cstheme="minorHAnsi"/>
          <w:b/>
          <w:bCs/>
          <w:i/>
          <w:iCs/>
          <w:sz w:val="20"/>
          <w:szCs w:val="20"/>
          <w:lang w:bidi="fa-IR"/>
        </w:rPr>
        <w:t>s</w:t>
      </w:r>
      <w:r w:rsidR="008F293D" w:rsidRPr="00346F30">
        <w:rPr>
          <w:rFonts w:cstheme="minorHAnsi"/>
          <w:b/>
          <w:bCs/>
          <w:i/>
          <w:iCs/>
          <w:sz w:val="20"/>
          <w:szCs w:val="20"/>
          <w:lang w:bidi="fa-IR"/>
        </w:rPr>
        <w:t>h</w:t>
      </w:r>
      <w:proofErr w:type="spellEnd"/>
      <w:r w:rsidR="008F293D" w:rsidRPr="00346F30">
        <w:rPr>
          <w:rFonts w:cstheme="minorHAnsi"/>
          <w:b/>
          <w:bCs/>
          <w:i/>
          <w:iCs/>
          <w:sz w:val="20"/>
          <w:szCs w:val="20"/>
          <w:lang w:bidi="fa-IR"/>
        </w:rPr>
        <w:t>,</w:t>
      </w:r>
    </w:p>
    <w:p w14:paraId="1C92A33F" w14:textId="77777777" w:rsidR="00346F30" w:rsidRPr="00346F30" w:rsidRDefault="00346F30" w:rsidP="00FB67AC">
      <w:pPr>
        <w:ind w:firstLine="0"/>
        <w:rPr>
          <w:rFonts w:cstheme="minorHAnsi"/>
          <w:b/>
          <w:bCs/>
          <w:i/>
          <w:iCs/>
          <w:sz w:val="20"/>
          <w:szCs w:val="20"/>
          <w:lang w:bidi="fa-IR"/>
        </w:rPr>
      </w:pPr>
      <w:r w:rsidRPr="00346F30">
        <w:rPr>
          <w:rFonts w:cstheme="minorHAnsi"/>
          <w:b/>
          <w:bCs/>
          <w:i/>
          <w:iCs/>
          <w:sz w:val="20"/>
          <w:szCs w:val="20"/>
          <w:lang w:bidi="fa-IR"/>
        </w:rPr>
        <w:t xml:space="preserve">2- </w:t>
      </w:r>
      <w:r w:rsidR="008F293D" w:rsidRPr="00346F30">
        <w:rPr>
          <w:rFonts w:cstheme="minorHAnsi"/>
          <w:b/>
          <w:bCs/>
          <w:i/>
          <w:iCs/>
          <w:sz w:val="20"/>
          <w:szCs w:val="20"/>
          <w:lang w:bidi="fa-IR"/>
        </w:rPr>
        <w:t>De leur pacte [concernant] les voyages d’hiver et d’été.</w:t>
      </w:r>
    </w:p>
    <w:p w14:paraId="2832EA8E" w14:textId="77777777" w:rsidR="00346F30" w:rsidRPr="00346F30" w:rsidRDefault="00346F30" w:rsidP="00FB67AC">
      <w:pPr>
        <w:ind w:firstLine="0"/>
        <w:rPr>
          <w:rFonts w:cstheme="minorHAnsi"/>
          <w:b/>
          <w:bCs/>
          <w:i/>
          <w:iCs/>
          <w:sz w:val="20"/>
          <w:szCs w:val="20"/>
          <w:lang w:bidi="fa-IR"/>
        </w:rPr>
      </w:pPr>
      <w:r w:rsidRPr="00346F30">
        <w:rPr>
          <w:rFonts w:cstheme="minorHAnsi"/>
          <w:b/>
          <w:bCs/>
          <w:i/>
          <w:iCs/>
          <w:sz w:val="20"/>
          <w:szCs w:val="20"/>
          <w:lang w:bidi="fa-IR"/>
        </w:rPr>
        <w:t xml:space="preserve">3- </w:t>
      </w:r>
      <w:r w:rsidR="008F293D" w:rsidRPr="00346F30">
        <w:rPr>
          <w:rFonts w:cstheme="minorHAnsi"/>
          <w:b/>
          <w:bCs/>
          <w:i/>
          <w:iCs/>
          <w:sz w:val="20"/>
          <w:szCs w:val="20"/>
          <w:lang w:bidi="fa-IR"/>
        </w:rPr>
        <w:t>Qu’ils adorent donc le Seigneur de cette Maison (la Kaaba),</w:t>
      </w:r>
    </w:p>
    <w:p w14:paraId="40D49018" w14:textId="123D5991" w:rsidR="00FB67AC" w:rsidRDefault="00346F30" w:rsidP="00F04508">
      <w:pPr>
        <w:ind w:firstLine="0"/>
        <w:rPr>
          <w:rFonts w:cstheme="minorHAnsi"/>
          <w:b/>
          <w:bCs/>
          <w:i/>
          <w:iCs/>
          <w:sz w:val="20"/>
          <w:szCs w:val="20"/>
          <w:lang w:bidi="fa-IR"/>
        </w:rPr>
      </w:pPr>
      <w:r w:rsidRPr="00346F30">
        <w:rPr>
          <w:rFonts w:cstheme="minorHAnsi"/>
          <w:b/>
          <w:bCs/>
          <w:i/>
          <w:iCs/>
          <w:sz w:val="20"/>
          <w:szCs w:val="20"/>
          <w:lang w:bidi="fa-IR"/>
        </w:rPr>
        <w:t xml:space="preserve">4- </w:t>
      </w:r>
      <w:r w:rsidR="008F293D" w:rsidRPr="00346F30">
        <w:rPr>
          <w:rFonts w:cstheme="minorHAnsi"/>
          <w:b/>
          <w:bCs/>
          <w:i/>
          <w:iCs/>
          <w:sz w:val="20"/>
          <w:szCs w:val="20"/>
          <w:lang w:bidi="fa-IR"/>
        </w:rPr>
        <w:t>qui les a nourris contre la faim et rassurés de la crainte !</w:t>
      </w:r>
    </w:p>
    <w:p w14:paraId="188C1AA4" w14:textId="77777777" w:rsidR="005A132C" w:rsidRPr="00F04508" w:rsidRDefault="005A132C" w:rsidP="00F04508">
      <w:pPr>
        <w:ind w:firstLine="0"/>
        <w:rPr>
          <w:rFonts w:cstheme="minorHAnsi"/>
          <w:b/>
          <w:bCs/>
          <w:i/>
          <w:iCs/>
          <w:sz w:val="20"/>
          <w:szCs w:val="20"/>
          <w:lang w:bidi="fa-IR"/>
        </w:rPr>
      </w:pPr>
    </w:p>
    <w:p w14:paraId="08EC4224" w14:textId="3B1EE26B" w:rsidR="008F293D" w:rsidRPr="00FB67AC" w:rsidRDefault="00FB67AC" w:rsidP="00FB67AC">
      <w:pPr>
        <w:ind w:firstLine="0"/>
        <w:rPr>
          <w:rFonts w:cstheme="minorHAnsi"/>
          <w:lang w:val="fr-BE" w:bidi="fa-IR"/>
        </w:rPr>
      </w:pPr>
      <w:r w:rsidRPr="00FB67AC">
        <w:rPr>
          <w:rFonts w:cstheme="minorHAnsi"/>
          <w:lang w:bidi="fa-IR"/>
        </w:rPr>
        <w:t xml:space="preserve">1- </w:t>
      </w:r>
      <w:r w:rsidR="007C4F87">
        <w:rPr>
          <w:rFonts w:cstheme="minorHAnsi"/>
          <w:lang w:bidi="fa-IR"/>
        </w:rPr>
        <w:t>On notera</w:t>
      </w:r>
      <w:r w:rsidR="008F293D" w:rsidRPr="00FB67AC">
        <w:rPr>
          <w:rFonts w:cstheme="minorHAnsi"/>
          <w:lang w:bidi="fa-IR"/>
        </w:rPr>
        <w:t xml:space="preserve"> que l</w:t>
      </w:r>
      <w:r w:rsidR="008F293D" w:rsidRPr="00FB67AC">
        <w:rPr>
          <w:rFonts w:cstheme="minorHAnsi"/>
          <w:lang w:val="fr-BE" w:bidi="fa-IR"/>
        </w:rPr>
        <w:t xml:space="preserve">a sourate « </w:t>
      </w:r>
      <w:r w:rsidRPr="00FB67AC">
        <w:rPr>
          <w:rFonts w:cstheme="minorHAnsi"/>
          <w:noProof/>
          <w:lang w:val="fr-RE"/>
        </w:rPr>
        <w:t>Quraysh</w:t>
      </w:r>
      <w:r w:rsidR="008F293D" w:rsidRPr="00FB67AC">
        <w:rPr>
          <w:rFonts w:cstheme="minorHAnsi"/>
          <w:lang w:val="fr-BE" w:bidi="fa-IR"/>
        </w:rPr>
        <w:t xml:space="preserve"> » est en fait la suite de la sourate « </w:t>
      </w:r>
      <w:r w:rsidRPr="00FB67AC">
        <w:rPr>
          <w:rFonts w:cstheme="minorHAnsi"/>
          <w:lang w:val="fr-BE" w:bidi="fa-IR"/>
        </w:rPr>
        <w:t>a</w:t>
      </w:r>
      <w:r w:rsidR="008F293D" w:rsidRPr="00FB67AC">
        <w:rPr>
          <w:rFonts w:cstheme="minorHAnsi"/>
          <w:lang w:val="fr-BE" w:bidi="fa-IR"/>
        </w:rPr>
        <w:t>l-Fil » et rappelle les bienfaits que Dieu avait accordés aux habitants de La Mecque. En effet, Dieu a détruit l'armée des Éléphants et a repoussé leur attaque contre la Kaaba, afin que la tribu des Qurayshites ne soit pas détruite</w:t>
      </w:r>
      <w:r w:rsidR="00A32B64">
        <w:rPr>
          <w:rFonts w:cstheme="minorHAnsi"/>
          <w:lang w:val="fr-BE" w:bidi="fa-IR"/>
        </w:rPr>
        <w:t>,</w:t>
      </w:r>
      <w:r w:rsidR="008F293D" w:rsidRPr="00FB67AC">
        <w:rPr>
          <w:rFonts w:cstheme="minorHAnsi"/>
          <w:lang w:val="fr-BE" w:bidi="fa-IR"/>
        </w:rPr>
        <w:t xml:space="preserve"> </w:t>
      </w:r>
      <w:r w:rsidR="00A32B64">
        <w:rPr>
          <w:rFonts w:cstheme="minorHAnsi"/>
          <w:lang w:val="fr-BE" w:bidi="fa-IR"/>
        </w:rPr>
        <w:t xml:space="preserve">qu’elle puisse </w:t>
      </w:r>
      <w:r w:rsidR="008F293D" w:rsidRPr="00FB67AC">
        <w:rPr>
          <w:rFonts w:cstheme="minorHAnsi"/>
          <w:lang w:val="fr-BE" w:bidi="fa-IR"/>
        </w:rPr>
        <w:t>trouve</w:t>
      </w:r>
      <w:r w:rsidR="00A32B64">
        <w:rPr>
          <w:rFonts w:cstheme="minorHAnsi"/>
          <w:lang w:val="fr-BE" w:bidi="fa-IR"/>
        </w:rPr>
        <w:t>r</w:t>
      </w:r>
      <w:r w:rsidR="008F293D" w:rsidRPr="00FB67AC">
        <w:rPr>
          <w:rFonts w:cstheme="minorHAnsi"/>
          <w:lang w:val="fr-BE" w:bidi="fa-IR"/>
        </w:rPr>
        <w:t xml:space="preserve"> encore plus d’harmonie et qu’avec l’aide de Dieu</w:t>
      </w:r>
      <w:r w:rsidR="00224317">
        <w:rPr>
          <w:rFonts w:cstheme="minorHAnsi"/>
          <w:lang w:val="fr-BE" w:bidi="fa-IR"/>
        </w:rPr>
        <w:t>,</w:t>
      </w:r>
      <w:r w:rsidR="008F293D" w:rsidRPr="00FB67AC">
        <w:rPr>
          <w:rFonts w:cstheme="minorHAnsi"/>
          <w:lang w:val="fr-BE" w:bidi="fa-IR"/>
        </w:rPr>
        <w:t xml:space="preserve"> elle reprenne confiance.</w:t>
      </w:r>
    </w:p>
    <w:p w14:paraId="6AB22223" w14:textId="0CD799F9" w:rsidR="008F293D" w:rsidRPr="00FB67AC" w:rsidRDefault="00FB67AC" w:rsidP="00FB67AC">
      <w:pPr>
        <w:ind w:firstLine="0"/>
        <w:rPr>
          <w:rFonts w:cstheme="minorHAnsi"/>
          <w:lang w:val="fr-BE" w:bidi="fa-IR"/>
        </w:rPr>
      </w:pPr>
      <w:r w:rsidRPr="00FB67AC">
        <w:rPr>
          <w:rFonts w:cstheme="minorHAnsi"/>
          <w:lang w:val="fr-BE" w:bidi="fa-IR"/>
        </w:rPr>
        <w:t xml:space="preserve">2- </w:t>
      </w:r>
      <w:r w:rsidR="008F293D" w:rsidRPr="00FB67AC">
        <w:rPr>
          <w:rFonts w:cstheme="minorHAnsi"/>
          <w:lang w:val="fr-BE" w:bidi="fa-IR"/>
        </w:rPr>
        <w:t>Le territoire de La Mecque, situé entre le Levant et le Yémen, était une terre aride et pauvre en eau, l’agriculture et l’élevage n’y prospéraient guère. C’est pourquoi les Mecquois se consacraient surtout au commerce. En été, ils se rendaient au Levant (Palestine et Syrie) et en hiver</w:t>
      </w:r>
      <w:r w:rsidR="009E6DE7">
        <w:rPr>
          <w:rFonts w:cstheme="minorHAnsi"/>
          <w:lang w:val="fr-BE" w:bidi="fa-IR"/>
        </w:rPr>
        <w:t>,</w:t>
      </w:r>
      <w:r w:rsidR="008F293D" w:rsidRPr="00FB67AC">
        <w:rPr>
          <w:rFonts w:cstheme="minorHAnsi"/>
          <w:lang w:val="fr-BE" w:bidi="fa-IR"/>
        </w:rPr>
        <w:t xml:space="preserve"> au Yémen où il faisait plus chaud. Lors de ces voyages, ils avaient besoin d’amitié, de sécurité et de nourriture, et Dieu, en préservant la Kaaba, leur a apporté tout cela. </w:t>
      </w:r>
    </w:p>
    <w:p w14:paraId="4ED4885B" w14:textId="5A2DEEDD" w:rsidR="008F293D" w:rsidRPr="00FB67AC" w:rsidRDefault="008F293D" w:rsidP="00FB67AC">
      <w:pPr>
        <w:ind w:firstLine="0"/>
        <w:rPr>
          <w:rFonts w:cstheme="minorHAnsi"/>
          <w:lang w:val="fr-BE" w:bidi="fa-IR"/>
        </w:rPr>
      </w:pPr>
      <w:r w:rsidRPr="00FB67AC">
        <w:rPr>
          <w:rFonts w:cstheme="minorHAnsi"/>
          <w:lang w:val="fr-BE" w:bidi="fa-IR"/>
        </w:rPr>
        <w:t>En effet, après l’incident de l’Année de l’Éléphant, les Qurayshites ont acquis un respect particulier parmi les peuples et étaient moins souvent attaqués. La Kaaba était également un espoir pour eux. Avec le commerce des Qurayshites et les voyages de</w:t>
      </w:r>
      <w:r w:rsidR="007C4F87">
        <w:rPr>
          <w:rFonts w:cstheme="minorHAnsi"/>
          <w:lang w:val="fr-BE" w:bidi="fa-IR"/>
        </w:rPr>
        <w:t>s</w:t>
      </w:r>
      <w:r w:rsidRPr="00FB67AC">
        <w:rPr>
          <w:rFonts w:cstheme="minorHAnsi"/>
          <w:lang w:val="fr-BE" w:bidi="fa-IR"/>
        </w:rPr>
        <w:t xml:space="preserve"> pèlerin</w:t>
      </w:r>
      <w:r w:rsidR="004158B7">
        <w:rPr>
          <w:rFonts w:cstheme="minorHAnsi"/>
          <w:lang w:val="fr-BE" w:bidi="fa-IR"/>
        </w:rPr>
        <w:t>s</w:t>
      </w:r>
      <w:r w:rsidRPr="00FB67AC">
        <w:rPr>
          <w:rFonts w:cstheme="minorHAnsi"/>
          <w:lang w:val="fr-BE" w:bidi="fa-IR"/>
        </w:rPr>
        <w:t xml:space="preserve">, l’économie de La Mecque prospérait et la </w:t>
      </w:r>
      <w:r w:rsidR="009E6DE7">
        <w:rPr>
          <w:rFonts w:cstheme="minorHAnsi"/>
          <w:lang w:val="fr-BE" w:bidi="fa-IR"/>
        </w:rPr>
        <w:t>subsistance</w:t>
      </w:r>
      <w:r w:rsidRPr="00FB67AC">
        <w:rPr>
          <w:rFonts w:cstheme="minorHAnsi"/>
          <w:lang w:val="fr-BE" w:bidi="fa-IR"/>
        </w:rPr>
        <w:t xml:space="preserve"> des Qurayshites était assurée.</w:t>
      </w:r>
      <w:r w:rsidR="00FB67AC" w:rsidRPr="00FB67AC">
        <w:rPr>
          <w:rStyle w:val="Appelnotedebasdep"/>
          <w:rFonts w:cstheme="minorHAnsi"/>
          <w:lang w:val="fr-BE" w:bidi="fa-IR"/>
        </w:rPr>
        <w:footnoteReference w:id="9"/>
      </w:r>
    </w:p>
    <w:p w14:paraId="3B649DED" w14:textId="77777777" w:rsidR="00FA5E65" w:rsidRDefault="00FA5E65" w:rsidP="00FB67AC">
      <w:pPr>
        <w:ind w:firstLine="0"/>
        <w:rPr>
          <w:rFonts w:cstheme="minorHAnsi"/>
        </w:rPr>
      </w:pPr>
    </w:p>
    <w:p w14:paraId="0F374125" w14:textId="77777777" w:rsidR="0065627F" w:rsidRDefault="0065627F" w:rsidP="00FA5E65">
      <w:pPr>
        <w:spacing w:after="200" w:line="276" w:lineRule="auto"/>
        <w:ind w:firstLine="0"/>
        <w:rPr>
          <w:rFonts w:ascii="Calibri" w:eastAsia="Times New Roman" w:hAnsi="Calibri" w:cs="Calibri"/>
          <w:b/>
          <w:bCs/>
          <w:sz w:val="20"/>
          <w:szCs w:val="20"/>
          <w:lang w:val="fr-RE"/>
        </w:rPr>
      </w:pPr>
    </w:p>
    <w:p w14:paraId="651E189D" w14:textId="77777777" w:rsidR="0065627F" w:rsidRDefault="0065627F" w:rsidP="00FA5E65">
      <w:pPr>
        <w:spacing w:after="200" w:line="276" w:lineRule="auto"/>
        <w:ind w:firstLine="0"/>
        <w:rPr>
          <w:rFonts w:ascii="Calibri" w:eastAsia="Times New Roman" w:hAnsi="Calibri" w:cs="Calibri"/>
          <w:b/>
          <w:bCs/>
          <w:sz w:val="20"/>
          <w:szCs w:val="20"/>
          <w:lang w:val="fr-RE"/>
        </w:rPr>
      </w:pPr>
    </w:p>
    <w:p w14:paraId="12D4ACDE" w14:textId="5D28257E" w:rsidR="00FA5E65" w:rsidRPr="00FA5E65" w:rsidRDefault="00F5521C" w:rsidP="00FA5E65">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FA5E65" w:rsidRPr="00FA5E65">
        <w:rPr>
          <w:rFonts w:ascii="Calibri" w:eastAsia="Times New Roman" w:hAnsi="Calibri" w:cs="Calibri"/>
          <w:b/>
          <w:bCs/>
          <w:sz w:val="20"/>
          <w:szCs w:val="20"/>
          <w:lang w:val="fr-RE"/>
        </w:rPr>
        <w:t xml:space="preserve">) Message et leçon à tirer de la sourate </w:t>
      </w:r>
    </w:p>
    <w:p w14:paraId="03F86F42" w14:textId="77777777" w:rsidR="00FA5E65" w:rsidRPr="00FA5E65" w:rsidRDefault="00FA5E65" w:rsidP="00FA5E65">
      <w:pPr>
        <w:spacing w:after="200" w:line="276" w:lineRule="auto"/>
        <w:ind w:firstLine="0"/>
        <w:rPr>
          <w:rFonts w:ascii="Calibri" w:eastAsia="Times New Roman" w:hAnsi="Calibri" w:cs="Arial"/>
          <w:sz w:val="20"/>
          <w:szCs w:val="20"/>
          <w:lang w:val="fr-RE" w:bidi="en-US"/>
        </w:rPr>
      </w:pPr>
    </w:p>
    <w:p w14:paraId="6CD0E9B3" w14:textId="0DD652D5" w:rsidR="00FA5E65" w:rsidRPr="00FA5E65" w:rsidRDefault="00FA5E65" w:rsidP="00FA5E65">
      <w:pPr>
        <w:spacing w:after="200" w:line="276" w:lineRule="auto"/>
        <w:ind w:firstLine="0"/>
        <w:rPr>
          <w:rFonts w:ascii="Calibri" w:eastAsia="Times New Roman" w:hAnsi="Calibri" w:cs="Calibri"/>
          <w:lang w:val="fr-FR"/>
        </w:rPr>
      </w:pPr>
      <w:r w:rsidRPr="00FA5E65">
        <w:rPr>
          <w:rFonts w:ascii="Calibri" w:eastAsia="Times New Roman" w:hAnsi="Calibri" w:cs="Calibri"/>
          <w:lang w:val="fr-FR"/>
        </w:rPr>
        <w:t xml:space="preserve">- L’être humain doit toujours prendre en compte la valeur des bienfaits </w:t>
      </w:r>
      <w:r w:rsidR="007C4F87">
        <w:rPr>
          <w:rFonts w:ascii="Calibri" w:eastAsia="Times New Roman" w:hAnsi="Calibri" w:cs="Calibri"/>
          <w:lang w:val="fr-FR"/>
        </w:rPr>
        <w:t xml:space="preserve">accordés par </w:t>
      </w:r>
      <w:r w:rsidRPr="00FA5E65">
        <w:rPr>
          <w:rFonts w:ascii="Calibri" w:eastAsia="Times New Roman" w:hAnsi="Calibri" w:cs="Calibri"/>
          <w:lang w:val="fr-FR"/>
        </w:rPr>
        <w:t>Dieu et ne doit pas négliger l’adoration de Dieu.</w:t>
      </w:r>
    </w:p>
    <w:p w14:paraId="25A2771C" w14:textId="68C2D276" w:rsidR="00FA5E65" w:rsidRPr="00FA5E65" w:rsidRDefault="00FA5E65" w:rsidP="00FA5E65">
      <w:pPr>
        <w:spacing w:after="200" w:line="276" w:lineRule="auto"/>
        <w:ind w:firstLine="0"/>
        <w:rPr>
          <w:rFonts w:ascii="Calibri" w:eastAsia="Times New Roman" w:hAnsi="Calibri" w:cs="Calibri"/>
          <w:lang w:val="fr-FR"/>
        </w:rPr>
      </w:pPr>
      <w:r w:rsidRPr="00FA5E65">
        <w:rPr>
          <w:rFonts w:ascii="Calibri" w:eastAsia="Times New Roman" w:hAnsi="Calibri" w:cs="Calibri"/>
          <w:lang w:val="fr-FR"/>
        </w:rPr>
        <w:lastRenderedPageBreak/>
        <w:t xml:space="preserve">- </w:t>
      </w:r>
      <w:r w:rsidR="009E6DE7">
        <w:rPr>
          <w:rFonts w:ascii="Calibri" w:eastAsia="Times New Roman" w:hAnsi="Calibri" w:cs="Calibri"/>
          <w:lang w:val="fr-FR"/>
        </w:rPr>
        <w:t>La garantie d</w:t>
      </w:r>
      <w:r w:rsidRPr="00FA5E65">
        <w:rPr>
          <w:rFonts w:ascii="Calibri" w:eastAsia="Times New Roman" w:hAnsi="Calibri" w:cs="Calibri"/>
          <w:lang w:val="fr-FR"/>
        </w:rPr>
        <w:t xml:space="preserve">es besoins de l’être humain, tels que la </w:t>
      </w:r>
      <w:r w:rsidR="009E6DE7">
        <w:rPr>
          <w:rFonts w:ascii="Calibri" w:eastAsia="Times New Roman" w:hAnsi="Calibri" w:cs="Calibri"/>
          <w:lang w:val="fr-FR"/>
        </w:rPr>
        <w:t>subsistance</w:t>
      </w:r>
      <w:r w:rsidRPr="00FA5E65">
        <w:rPr>
          <w:rFonts w:ascii="Calibri" w:eastAsia="Times New Roman" w:hAnsi="Calibri" w:cs="Calibri"/>
          <w:lang w:val="fr-FR"/>
        </w:rPr>
        <w:t xml:space="preserve">, la sécurité et la tranquillité, est le signe de La Faveur et de La Grâce de Dieu. </w:t>
      </w:r>
    </w:p>
    <w:p w14:paraId="64C0230B" w14:textId="190766FA" w:rsidR="00FA5E65" w:rsidRPr="00FA5E65" w:rsidRDefault="00FA5E65" w:rsidP="00FA5E65">
      <w:pPr>
        <w:spacing w:after="200" w:line="276" w:lineRule="auto"/>
        <w:ind w:firstLine="0"/>
        <w:rPr>
          <w:rFonts w:ascii="Calibri" w:eastAsia="Times New Roman" w:hAnsi="Calibri" w:cs="Calibri"/>
          <w:lang w:val="fr-FR"/>
        </w:rPr>
      </w:pPr>
      <w:r w:rsidRPr="00FA5E65">
        <w:rPr>
          <w:rFonts w:ascii="Calibri" w:eastAsia="Times New Roman" w:hAnsi="Calibri" w:cs="Calibri"/>
          <w:lang w:val="fr-FR"/>
        </w:rPr>
        <w:t xml:space="preserve">- L’un des </w:t>
      </w:r>
      <w:r w:rsidR="009E6DE7">
        <w:rPr>
          <w:rFonts w:ascii="Calibri" w:eastAsia="Times New Roman" w:hAnsi="Calibri" w:cs="Calibri"/>
          <w:lang w:val="fr-FR"/>
        </w:rPr>
        <w:t>objectif</w:t>
      </w:r>
      <w:r w:rsidRPr="00FA5E65">
        <w:rPr>
          <w:rFonts w:ascii="Calibri" w:eastAsia="Times New Roman" w:hAnsi="Calibri" w:cs="Calibri"/>
          <w:lang w:val="fr-FR"/>
        </w:rPr>
        <w:t>s d</w:t>
      </w:r>
      <w:r w:rsidR="009E6DE7">
        <w:rPr>
          <w:rFonts w:ascii="Calibri" w:eastAsia="Times New Roman" w:hAnsi="Calibri" w:cs="Calibri"/>
          <w:lang w:val="fr-FR"/>
        </w:rPr>
        <w:t>e l’adoration de</w:t>
      </w:r>
      <w:r w:rsidRPr="00FA5E65">
        <w:rPr>
          <w:rFonts w:ascii="Calibri" w:eastAsia="Times New Roman" w:hAnsi="Calibri" w:cs="Calibri"/>
          <w:lang w:val="fr-FR"/>
        </w:rPr>
        <w:t xml:space="preserve"> Dieu est </w:t>
      </w:r>
      <w:r w:rsidR="009E6DE7">
        <w:rPr>
          <w:rFonts w:ascii="Calibri" w:eastAsia="Times New Roman" w:hAnsi="Calibri" w:cs="Calibri"/>
          <w:lang w:val="fr-FR"/>
        </w:rPr>
        <w:t>de Le remercier</w:t>
      </w:r>
      <w:r w:rsidRPr="00FA5E65">
        <w:rPr>
          <w:rFonts w:ascii="Calibri" w:eastAsia="Times New Roman" w:hAnsi="Calibri" w:cs="Calibri"/>
          <w:lang w:val="fr-FR"/>
        </w:rPr>
        <w:t xml:space="preserve"> pour tous les bienfaits </w:t>
      </w:r>
      <w:r w:rsidR="009E6DE7">
        <w:rPr>
          <w:rFonts w:ascii="Calibri" w:eastAsia="Times New Roman" w:hAnsi="Calibri" w:cs="Calibri"/>
          <w:lang w:val="fr-FR"/>
        </w:rPr>
        <w:t xml:space="preserve">qu’Il a </w:t>
      </w:r>
      <w:r w:rsidRPr="00FA5E65">
        <w:rPr>
          <w:rFonts w:ascii="Calibri" w:eastAsia="Times New Roman" w:hAnsi="Calibri" w:cs="Calibri"/>
          <w:lang w:val="fr-FR"/>
        </w:rPr>
        <w:t xml:space="preserve">accordés </w:t>
      </w:r>
      <w:r w:rsidR="009E6DE7">
        <w:rPr>
          <w:rFonts w:ascii="Calibri" w:eastAsia="Times New Roman" w:hAnsi="Calibri" w:cs="Calibri"/>
          <w:lang w:val="fr-FR"/>
        </w:rPr>
        <w:t>aux êtres humains</w:t>
      </w:r>
      <w:r w:rsidR="00F04508">
        <w:rPr>
          <w:rFonts w:ascii="Calibri" w:eastAsia="Times New Roman" w:hAnsi="Calibri" w:cs="Calibri"/>
          <w:lang w:val="fr-FR"/>
        </w:rPr>
        <w:t>.</w:t>
      </w:r>
      <w:r w:rsidRPr="00FA5E65">
        <w:rPr>
          <w:rFonts w:ascii="Calibri" w:eastAsia="Times New Roman" w:hAnsi="Calibri" w:cs="Calibri"/>
          <w:vertAlign w:val="superscript"/>
          <w:lang w:val="fr-FR"/>
        </w:rPr>
        <w:footnoteReference w:id="10"/>
      </w:r>
    </w:p>
    <w:p w14:paraId="337C3943" w14:textId="77777777" w:rsidR="00FA5E65" w:rsidRDefault="00FA5E65" w:rsidP="00FB67AC">
      <w:pPr>
        <w:ind w:firstLine="0"/>
        <w:rPr>
          <w:rFonts w:cstheme="minorHAnsi"/>
        </w:rPr>
      </w:pPr>
    </w:p>
    <w:p w14:paraId="7F566859" w14:textId="77777777" w:rsidR="00FA5E65" w:rsidRPr="00FB67AC" w:rsidRDefault="00FA5E65" w:rsidP="00FB67AC">
      <w:pPr>
        <w:ind w:firstLine="0"/>
        <w:rPr>
          <w:rFonts w:cstheme="minorHAnsi"/>
        </w:rPr>
      </w:pPr>
    </w:p>
    <w:sectPr w:rsidR="00FA5E65" w:rsidRPr="00FB67A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2601F" w14:textId="77777777" w:rsidR="00882C9D" w:rsidRDefault="00882C9D" w:rsidP="00FB67AC">
      <w:pPr>
        <w:spacing w:after="0" w:line="240" w:lineRule="auto"/>
      </w:pPr>
      <w:r>
        <w:separator/>
      </w:r>
    </w:p>
  </w:endnote>
  <w:endnote w:type="continuationSeparator" w:id="0">
    <w:p w14:paraId="1D8CC630" w14:textId="77777777" w:rsidR="00882C9D" w:rsidRDefault="00882C9D" w:rsidP="00FB6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E8ED" w14:textId="77777777" w:rsidR="00882C9D" w:rsidRDefault="00882C9D" w:rsidP="00FB67AC">
      <w:pPr>
        <w:spacing w:after="0" w:line="240" w:lineRule="auto"/>
      </w:pPr>
      <w:r>
        <w:separator/>
      </w:r>
    </w:p>
  </w:footnote>
  <w:footnote w:type="continuationSeparator" w:id="0">
    <w:p w14:paraId="0AB5341E" w14:textId="77777777" w:rsidR="00882C9D" w:rsidRDefault="00882C9D" w:rsidP="00FB67AC">
      <w:pPr>
        <w:spacing w:after="0" w:line="240" w:lineRule="auto"/>
      </w:pPr>
      <w:r>
        <w:continuationSeparator/>
      </w:r>
    </w:p>
  </w:footnote>
  <w:footnote w:id="1">
    <w:p w14:paraId="2E4A4F04" w14:textId="0FF076A8" w:rsidR="00F5521C" w:rsidRPr="00A32B64" w:rsidRDefault="00F5521C" w:rsidP="00F5521C">
      <w:pPr>
        <w:spacing w:after="0" w:line="240" w:lineRule="auto"/>
        <w:ind w:firstLine="0"/>
        <w:rPr>
          <w:rFonts w:ascii="Calibri" w:eastAsia="Times New Roman" w:hAnsi="Calibri" w:cs="Arial"/>
          <w:i/>
          <w:iCs/>
          <w:sz w:val="16"/>
          <w:szCs w:val="16"/>
          <w:lang w:val="fr-RE"/>
        </w:rPr>
      </w:pPr>
      <w:r w:rsidRPr="00F5521C">
        <w:rPr>
          <w:rStyle w:val="Appelnotedebasdep"/>
          <w:sz w:val="16"/>
          <w:szCs w:val="16"/>
        </w:rPr>
        <w:footnoteRef/>
      </w:r>
      <w:r w:rsidRPr="00F5521C">
        <w:rPr>
          <w:sz w:val="16"/>
          <w:szCs w:val="16"/>
        </w:rPr>
        <w:t xml:space="preserve"> </w:t>
      </w:r>
      <w:bookmarkStart w:id="1" w:name="_Hlk153631766"/>
      <w:proofErr w:type="spellStart"/>
      <w:r w:rsidRPr="00A32B64">
        <w:rPr>
          <w:rFonts w:ascii="Calibri" w:eastAsia="Times New Roman" w:hAnsi="Calibri" w:cs="Arial"/>
          <w:i/>
          <w:iCs/>
          <w:sz w:val="16"/>
          <w:szCs w:val="16"/>
          <w:lang w:val="fr-RE"/>
        </w:rPr>
        <w:t>Nézaamé</w:t>
      </w:r>
      <w:proofErr w:type="spellEnd"/>
      <w:r w:rsidRPr="00A32B64">
        <w:rPr>
          <w:rFonts w:ascii="Calibri" w:eastAsia="Times New Roman" w:hAnsi="Calibri" w:cs="Arial"/>
          <w:i/>
          <w:iCs/>
          <w:sz w:val="16"/>
          <w:szCs w:val="16"/>
          <w:lang w:val="fr-RE"/>
        </w:rPr>
        <w:t xml:space="preserve"> </w:t>
      </w:r>
      <w:proofErr w:type="spellStart"/>
      <w:r w:rsidRPr="00A32B64">
        <w:rPr>
          <w:rFonts w:ascii="Calibri" w:eastAsia="Times New Roman" w:hAnsi="Calibri" w:cs="Arial"/>
          <w:i/>
          <w:iCs/>
          <w:sz w:val="16"/>
          <w:szCs w:val="16"/>
          <w:lang w:val="fr-RE"/>
        </w:rPr>
        <w:t>hamahangué</w:t>
      </w:r>
      <w:proofErr w:type="spellEnd"/>
      <w:r w:rsidRPr="00A32B64">
        <w:rPr>
          <w:rFonts w:ascii="Calibri" w:eastAsia="Times New Roman" w:hAnsi="Calibri" w:cs="Arial"/>
          <w:i/>
          <w:iCs/>
          <w:sz w:val="16"/>
          <w:szCs w:val="16"/>
          <w:lang w:val="fr-RE"/>
        </w:rPr>
        <w:t xml:space="preserve"> </w:t>
      </w:r>
      <w:proofErr w:type="spellStart"/>
      <w:r w:rsidRPr="00A32B64">
        <w:rPr>
          <w:rFonts w:ascii="Calibri" w:eastAsia="Times New Roman" w:hAnsi="Calibri" w:cs="Arial"/>
          <w:i/>
          <w:iCs/>
          <w:sz w:val="16"/>
          <w:szCs w:val="16"/>
          <w:lang w:val="fr-RE"/>
        </w:rPr>
        <w:t>souréhayé</w:t>
      </w:r>
      <w:proofErr w:type="spellEnd"/>
      <w:r w:rsidRPr="00A32B64">
        <w:rPr>
          <w:rFonts w:ascii="Calibri" w:eastAsia="Times New Roman" w:hAnsi="Calibri" w:cs="Arial"/>
          <w:i/>
          <w:iCs/>
          <w:sz w:val="16"/>
          <w:szCs w:val="16"/>
          <w:lang w:val="fr-RE"/>
        </w:rPr>
        <w:t xml:space="preserve"> </w:t>
      </w:r>
      <w:proofErr w:type="spellStart"/>
      <w:r w:rsidRPr="00A32B64">
        <w:rPr>
          <w:rFonts w:ascii="Calibri" w:eastAsia="Times New Roman" w:hAnsi="Calibri" w:cs="Arial"/>
          <w:i/>
          <w:iCs/>
          <w:sz w:val="16"/>
          <w:szCs w:val="16"/>
          <w:lang w:val="fr-RE"/>
        </w:rPr>
        <w:t>Qur’an</w:t>
      </w:r>
      <w:proofErr w:type="spellEnd"/>
      <w:r w:rsidRPr="00A32B64">
        <w:rPr>
          <w:rFonts w:ascii="Calibri" w:eastAsia="Times New Roman" w:hAnsi="Calibri" w:cs="Arial"/>
          <w:i/>
          <w:iCs/>
          <w:sz w:val="16"/>
          <w:szCs w:val="16"/>
          <w:lang w:val="fr-RE"/>
        </w:rPr>
        <w:t>, page</w:t>
      </w:r>
      <w:bookmarkEnd w:id="1"/>
      <w:r w:rsidRPr="00A32B64">
        <w:rPr>
          <w:rFonts w:ascii="Calibri" w:eastAsia="Times New Roman" w:hAnsi="Calibri" w:cs="Arial"/>
          <w:i/>
          <w:iCs/>
          <w:sz w:val="16"/>
          <w:szCs w:val="16"/>
          <w:lang w:val="fr-RE"/>
        </w:rPr>
        <w:t xml:space="preserve"> 541 </w:t>
      </w:r>
    </w:p>
  </w:footnote>
  <w:footnote w:id="2">
    <w:p w14:paraId="2209EBDB" w14:textId="77777777" w:rsidR="00FA5E65" w:rsidRPr="00F5521C" w:rsidRDefault="00FA5E65" w:rsidP="00F5521C">
      <w:pPr>
        <w:pStyle w:val="Paragraphedeliste1"/>
        <w:spacing w:after="0" w:line="240" w:lineRule="auto"/>
        <w:ind w:left="0"/>
        <w:rPr>
          <w:i/>
          <w:iCs/>
          <w:sz w:val="16"/>
          <w:szCs w:val="16"/>
          <w:lang w:val="fr-FR" w:bidi="en-US"/>
        </w:rPr>
      </w:pPr>
      <w:r w:rsidRPr="00F5521C">
        <w:rPr>
          <w:rStyle w:val="Appelnotedebasdep"/>
          <w:i/>
          <w:iCs/>
          <w:sz w:val="16"/>
          <w:szCs w:val="16"/>
          <w:lang w:bidi="en-US"/>
        </w:rPr>
        <w:footnoteRef/>
      </w:r>
      <w:r w:rsidRPr="00F5521C">
        <w:rPr>
          <w:i/>
          <w:iCs/>
          <w:sz w:val="16"/>
          <w:szCs w:val="16"/>
          <w:lang w:val="fr-FR" w:bidi="en-US"/>
        </w:rPr>
        <w:t xml:space="preserve"> </w:t>
      </w:r>
      <w:proofErr w:type="spellStart"/>
      <w:r w:rsidRPr="00F5521C">
        <w:rPr>
          <w:i/>
          <w:iCs/>
          <w:sz w:val="16"/>
          <w:szCs w:val="16"/>
          <w:lang w:val="fr-FR" w:bidi="en-US"/>
        </w:rPr>
        <w:t>Tarjoumé</w:t>
      </w:r>
      <w:proofErr w:type="spellEnd"/>
      <w:r w:rsidRPr="00F5521C">
        <w:rPr>
          <w:i/>
          <w:iCs/>
          <w:sz w:val="16"/>
          <w:szCs w:val="16"/>
          <w:lang w:val="fr-FR" w:bidi="en-US"/>
        </w:rPr>
        <w:t xml:space="preserve"> </w:t>
      </w:r>
      <w:proofErr w:type="spellStart"/>
      <w:r w:rsidRPr="00F5521C">
        <w:rPr>
          <w:i/>
          <w:iCs/>
          <w:sz w:val="16"/>
          <w:szCs w:val="16"/>
          <w:lang w:val="fr-FR" w:bidi="en-US"/>
        </w:rPr>
        <w:t>Majmà</w:t>
      </w:r>
      <w:proofErr w:type="spellEnd"/>
      <w:r w:rsidRPr="00F5521C">
        <w:rPr>
          <w:i/>
          <w:iCs/>
          <w:sz w:val="16"/>
          <w:szCs w:val="16"/>
          <w:lang w:val="fr-FR" w:bidi="en-US"/>
        </w:rPr>
        <w:t xml:space="preserve">’ al </w:t>
      </w:r>
      <w:proofErr w:type="spellStart"/>
      <w:r w:rsidRPr="00F5521C">
        <w:rPr>
          <w:i/>
          <w:iCs/>
          <w:sz w:val="16"/>
          <w:szCs w:val="16"/>
          <w:lang w:val="fr-FR" w:bidi="en-US"/>
        </w:rPr>
        <w:t>Bayàn</w:t>
      </w:r>
      <w:proofErr w:type="spellEnd"/>
      <w:r w:rsidRPr="00F5521C">
        <w:rPr>
          <w:i/>
          <w:iCs/>
          <w:sz w:val="16"/>
          <w:szCs w:val="16"/>
          <w:lang w:val="fr-FR" w:bidi="en-US"/>
        </w:rPr>
        <w:t xml:space="preserve"> fi </w:t>
      </w:r>
      <w:proofErr w:type="spellStart"/>
      <w:r w:rsidRPr="00F5521C">
        <w:rPr>
          <w:i/>
          <w:iCs/>
          <w:sz w:val="16"/>
          <w:szCs w:val="16"/>
          <w:lang w:val="fr-FR" w:bidi="en-US"/>
        </w:rPr>
        <w:t>tafsiril</w:t>
      </w:r>
      <w:proofErr w:type="spellEnd"/>
      <w:r w:rsidRPr="00F5521C">
        <w:rPr>
          <w:i/>
          <w:iCs/>
          <w:sz w:val="16"/>
          <w:szCs w:val="16"/>
          <w:lang w:val="fr-FR" w:bidi="en-US"/>
        </w:rPr>
        <w:t xml:space="preserve"> </w:t>
      </w:r>
      <w:proofErr w:type="spellStart"/>
      <w:r w:rsidRPr="00F5521C">
        <w:rPr>
          <w:i/>
          <w:iCs/>
          <w:sz w:val="16"/>
          <w:szCs w:val="16"/>
          <w:lang w:val="fr-FR" w:bidi="en-US"/>
        </w:rPr>
        <w:t>Qur’an</w:t>
      </w:r>
      <w:proofErr w:type="spellEnd"/>
      <w:r w:rsidRPr="00F5521C">
        <w:rPr>
          <w:i/>
          <w:iCs/>
          <w:sz w:val="16"/>
          <w:szCs w:val="16"/>
          <w:lang w:val="fr-FR" w:bidi="en-US"/>
        </w:rPr>
        <w:t>, tome 27, page 291</w:t>
      </w:r>
    </w:p>
  </w:footnote>
  <w:footnote w:id="3">
    <w:p w14:paraId="62D5BDAB" w14:textId="39252227" w:rsidR="00803588" w:rsidRPr="00F5521C" w:rsidRDefault="00803588" w:rsidP="00F5521C">
      <w:pPr>
        <w:spacing w:after="0" w:line="240" w:lineRule="auto"/>
        <w:ind w:firstLine="0"/>
        <w:rPr>
          <w:rFonts w:cstheme="minorHAnsi"/>
          <w:sz w:val="16"/>
          <w:szCs w:val="16"/>
          <w:lang w:bidi="fa-IR"/>
        </w:rPr>
      </w:pPr>
      <w:r w:rsidRPr="00F5521C">
        <w:rPr>
          <w:rStyle w:val="Appelnotedebasdep"/>
          <w:sz w:val="16"/>
          <w:szCs w:val="16"/>
        </w:rPr>
        <w:footnoteRef/>
      </w:r>
      <w:r w:rsidRPr="00F5521C">
        <w:rPr>
          <w:sz w:val="16"/>
          <w:szCs w:val="16"/>
        </w:rPr>
        <w:t xml:space="preserve"> </w:t>
      </w:r>
      <w:r w:rsidRPr="00F5521C">
        <w:rPr>
          <w:rFonts w:cstheme="minorHAnsi"/>
          <w:sz w:val="16"/>
          <w:szCs w:val="16"/>
          <w:lang w:bidi="fa-IR"/>
        </w:rPr>
        <w:t xml:space="preserve">Les </w:t>
      </w:r>
      <w:proofErr w:type="spellStart"/>
      <w:r w:rsidRPr="00F5521C">
        <w:rPr>
          <w:rFonts w:cstheme="minorHAnsi"/>
          <w:sz w:val="16"/>
          <w:szCs w:val="16"/>
          <w:lang w:bidi="fa-IR"/>
        </w:rPr>
        <w:t>Quraysh</w:t>
      </w:r>
      <w:proofErr w:type="spellEnd"/>
      <w:r w:rsidRPr="00F5521C">
        <w:rPr>
          <w:rFonts w:cstheme="minorHAnsi"/>
          <w:sz w:val="16"/>
          <w:szCs w:val="16"/>
          <w:lang w:bidi="fa-IR"/>
        </w:rPr>
        <w:t xml:space="preserve"> étaient une importante tribu arabe de la Mecque, dont était issu le Prophète Mohammad (s). Ils descendaient d'</w:t>
      </w:r>
      <w:proofErr w:type="spellStart"/>
      <w:r w:rsidRPr="00F5521C">
        <w:rPr>
          <w:rFonts w:cstheme="minorHAnsi"/>
          <w:sz w:val="16"/>
          <w:szCs w:val="16"/>
          <w:lang w:bidi="fa-IR"/>
        </w:rPr>
        <w:t>Ismael</w:t>
      </w:r>
      <w:proofErr w:type="spellEnd"/>
      <w:r w:rsidRPr="00F5521C">
        <w:rPr>
          <w:rFonts w:cstheme="minorHAnsi"/>
          <w:sz w:val="16"/>
          <w:szCs w:val="16"/>
          <w:lang w:bidi="fa-IR"/>
        </w:rPr>
        <w:t xml:space="preserve"> (a), fils d'Abraham (a), et étaient donc les gardiens de la Kaaba, le sanctuaire le plus sacré de l'Islam. La tribu </w:t>
      </w:r>
      <w:proofErr w:type="spellStart"/>
      <w:r w:rsidRPr="00F5521C">
        <w:rPr>
          <w:rFonts w:cstheme="minorHAnsi"/>
          <w:sz w:val="16"/>
          <w:szCs w:val="16"/>
          <w:lang w:bidi="fa-IR"/>
        </w:rPr>
        <w:t>Quraysh</w:t>
      </w:r>
      <w:proofErr w:type="spellEnd"/>
      <w:r w:rsidRPr="00F5521C">
        <w:rPr>
          <w:rFonts w:cstheme="minorHAnsi"/>
          <w:sz w:val="16"/>
          <w:szCs w:val="16"/>
          <w:lang w:bidi="fa-IR"/>
        </w:rPr>
        <w:t xml:space="preserve"> était divisée en plusieurs clans, dont celui de </w:t>
      </w:r>
      <w:proofErr w:type="spellStart"/>
      <w:r w:rsidRPr="00F5521C">
        <w:rPr>
          <w:rFonts w:cstheme="minorHAnsi"/>
          <w:sz w:val="16"/>
          <w:szCs w:val="16"/>
          <w:lang w:bidi="fa-IR"/>
        </w:rPr>
        <w:t>Haashim</w:t>
      </w:r>
      <w:proofErr w:type="spellEnd"/>
      <w:r w:rsidRPr="00F5521C">
        <w:rPr>
          <w:rFonts w:cstheme="minorHAnsi"/>
          <w:sz w:val="16"/>
          <w:szCs w:val="16"/>
          <w:lang w:bidi="fa-IR"/>
        </w:rPr>
        <w:t xml:space="preserve"> auquel appartenait le Noble Prophète de l’Islam (s). Avant l’avènement de l’Islam, les </w:t>
      </w:r>
      <w:proofErr w:type="spellStart"/>
      <w:r w:rsidRPr="00F5521C">
        <w:rPr>
          <w:rFonts w:cstheme="minorHAnsi"/>
          <w:sz w:val="16"/>
          <w:szCs w:val="16"/>
          <w:lang w:bidi="fa-IR"/>
        </w:rPr>
        <w:t>Quraysh</w:t>
      </w:r>
      <w:proofErr w:type="spellEnd"/>
      <w:r w:rsidRPr="00F5521C">
        <w:rPr>
          <w:rFonts w:cstheme="minorHAnsi"/>
          <w:sz w:val="16"/>
          <w:szCs w:val="16"/>
          <w:lang w:bidi="fa-IR"/>
        </w:rPr>
        <w:t xml:space="preserve"> étaient polythéistes et adoraient notamment les idoles </w:t>
      </w:r>
      <w:proofErr w:type="spellStart"/>
      <w:r w:rsidRPr="00F5521C">
        <w:rPr>
          <w:rFonts w:cstheme="minorHAnsi"/>
          <w:sz w:val="16"/>
          <w:szCs w:val="16"/>
          <w:lang w:bidi="fa-IR"/>
        </w:rPr>
        <w:t>al-Lat</w:t>
      </w:r>
      <w:proofErr w:type="spellEnd"/>
      <w:r w:rsidRPr="00F5521C">
        <w:rPr>
          <w:rFonts w:cstheme="minorHAnsi"/>
          <w:sz w:val="16"/>
          <w:szCs w:val="16"/>
          <w:lang w:bidi="fa-IR"/>
        </w:rPr>
        <w:t>, al-</w:t>
      </w:r>
      <w:proofErr w:type="spellStart"/>
      <w:r w:rsidRPr="00F5521C">
        <w:rPr>
          <w:rFonts w:cstheme="minorHAnsi"/>
          <w:sz w:val="16"/>
          <w:szCs w:val="16"/>
          <w:lang w:bidi="fa-IR"/>
        </w:rPr>
        <w:t>Ouzzá</w:t>
      </w:r>
      <w:proofErr w:type="spellEnd"/>
      <w:r w:rsidRPr="00F5521C">
        <w:rPr>
          <w:rFonts w:cstheme="minorHAnsi"/>
          <w:sz w:val="16"/>
          <w:szCs w:val="16"/>
          <w:lang w:bidi="fa-IR"/>
        </w:rPr>
        <w:t xml:space="preserve"> et </w:t>
      </w:r>
      <w:proofErr w:type="spellStart"/>
      <w:r w:rsidRPr="00F5521C">
        <w:rPr>
          <w:rFonts w:cstheme="minorHAnsi"/>
          <w:sz w:val="16"/>
          <w:szCs w:val="16"/>
          <w:lang w:bidi="fa-IR"/>
        </w:rPr>
        <w:t>Manaate</w:t>
      </w:r>
      <w:proofErr w:type="spellEnd"/>
      <w:r w:rsidRPr="00F5521C">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F5521C">
        <w:rPr>
          <w:rFonts w:cstheme="minorHAnsi"/>
          <w:sz w:val="16"/>
          <w:szCs w:val="16"/>
          <w:lang w:bidi="fa-IR"/>
        </w:rPr>
        <w:t>Quraysh</w:t>
      </w:r>
      <w:proofErr w:type="spellEnd"/>
      <w:r w:rsidRPr="00F5521C">
        <w:rPr>
          <w:rFonts w:cstheme="minorHAnsi"/>
          <w:sz w:val="16"/>
          <w:szCs w:val="16"/>
          <w:lang w:bidi="fa-IR"/>
        </w:rPr>
        <w:t xml:space="preserve"> acceptèrent l'Islam, reconnaissant l</w:t>
      </w:r>
      <w:r w:rsidR="00A32B64">
        <w:rPr>
          <w:rFonts w:cstheme="minorHAnsi"/>
          <w:sz w:val="16"/>
          <w:szCs w:val="16"/>
          <w:lang w:bidi="fa-IR"/>
        </w:rPr>
        <w:t>e rang</w:t>
      </w:r>
      <w:r w:rsidRPr="00F5521C">
        <w:rPr>
          <w:rFonts w:cstheme="minorHAnsi"/>
          <w:sz w:val="16"/>
          <w:szCs w:val="16"/>
          <w:lang w:bidi="fa-IR"/>
        </w:rPr>
        <w:t xml:space="preserve"> du Noble Prophète (s).</w:t>
      </w:r>
    </w:p>
  </w:footnote>
  <w:footnote w:id="4">
    <w:p w14:paraId="48201092" w14:textId="77777777" w:rsidR="00FA5E65" w:rsidRPr="00F5521C" w:rsidRDefault="00FA5E65" w:rsidP="00F5521C">
      <w:pPr>
        <w:spacing w:after="0" w:line="240" w:lineRule="auto"/>
        <w:ind w:firstLine="0"/>
        <w:rPr>
          <w:rFonts w:cstheme="minorHAnsi"/>
          <w:sz w:val="16"/>
          <w:szCs w:val="16"/>
          <w:lang w:bidi="fa-IR"/>
        </w:rPr>
      </w:pPr>
      <w:r w:rsidRPr="00F5521C">
        <w:rPr>
          <w:rStyle w:val="Appelnotedebasdep"/>
          <w:sz w:val="16"/>
          <w:szCs w:val="16"/>
        </w:rPr>
        <w:footnoteRef/>
      </w:r>
      <w:r w:rsidRPr="00F5521C">
        <w:rPr>
          <w:sz w:val="16"/>
          <w:szCs w:val="16"/>
        </w:rPr>
        <w:t xml:space="preserve"> </w:t>
      </w:r>
      <w:bookmarkStart w:id="4" w:name="_Hlk152688451"/>
      <w:r w:rsidRPr="00F5521C">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F5521C">
        <w:rPr>
          <w:rFonts w:cstheme="minorHAnsi"/>
          <w:sz w:val="16"/>
          <w:szCs w:val="16"/>
          <w:lang w:bidi="fa-IR"/>
        </w:rPr>
        <w:t>kiswa</w:t>
      </w:r>
      <w:proofErr w:type="spellEnd"/>
      <w:r w:rsidRPr="00F5521C">
        <w:rPr>
          <w:rFonts w:cstheme="minorHAnsi"/>
          <w:sz w:val="16"/>
          <w:szCs w:val="16"/>
          <w:lang w:bidi="fa-IR"/>
        </w:rPr>
        <w:t>, qui est changé chaque année.</w:t>
      </w:r>
    </w:p>
    <w:bookmarkEnd w:id="4"/>
    <w:p w14:paraId="38714160" w14:textId="11289DB0" w:rsidR="00FA5E65" w:rsidRPr="00803588" w:rsidRDefault="00FA5E65" w:rsidP="00803588">
      <w:pPr>
        <w:pStyle w:val="Notedebasdepage"/>
        <w:rPr>
          <w:sz w:val="16"/>
          <w:szCs w:val="16"/>
          <w:lang w:val="fr-FR"/>
        </w:rPr>
      </w:pPr>
    </w:p>
  </w:footnote>
  <w:footnote w:id="5">
    <w:p w14:paraId="2F1CC7D6" w14:textId="18AB0524" w:rsidR="00F5521C" w:rsidRPr="000C5C3A" w:rsidRDefault="00F5521C" w:rsidP="00F5521C">
      <w:pPr>
        <w:spacing w:after="0" w:line="240" w:lineRule="auto"/>
        <w:ind w:firstLine="0"/>
        <w:rPr>
          <w:rFonts w:ascii="Calibri" w:eastAsia="Times New Roman" w:hAnsi="Calibri" w:cs="Arial"/>
          <w:i/>
          <w:iCs/>
          <w:sz w:val="16"/>
          <w:szCs w:val="16"/>
          <w:u w:val="single"/>
          <w:lang w:val="fr-RE"/>
        </w:rPr>
      </w:pPr>
      <w:r w:rsidRPr="000C5C3A">
        <w:rPr>
          <w:rStyle w:val="Appelnotedebasdep"/>
          <w:sz w:val="16"/>
          <w:szCs w:val="16"/>
        </w:rPr>
        <w:footnoteRef/>
      </w:r>
      <w:r w:rsidRPr="000C5C3A">
        <w:rPr>
          <w:sz w:val="16"/>
          <w:szCs w:val="16"/>
        </w:rPr>
        <w:t xml:space="preserve"> </w:t>
      </w:r>
      <w:bookmarkStart w:id="5" w:name="_Hlk153631795"/>
      <w:proofErr w:type="spellStart"/>
      <w:r w:rsidRPr="000C5C3A">
        <w:rPr>
          <w:rFonts w:eastAsiaTheme="minorEastAsia"/>
          <w:i/>
          <w:iCs/>
          <w:sz w:val="16"/>
          <w:szCs w:val="16"/>
          <w:lang w:val="fr-FR" w:bidi="en-US"/>
        </w:rPr>
        <w:t>Tafsiré</w:t>
      </w:r>
      <w:proofErr w:type="spellEnd"/>
      <w:r w:rsidRPr="000C5C3A">
        <w:rPr>
          <w:rFonts w:eastAsiaTheme="minorEastAsia"/>
          <w:i/>
          <w:iCs/>
          <w:sz w:val="16"/>
          <w:szCs w:val="16"/>
          <w:lang w:val="fr-FR" w:bidi="en-US"/>
        </w:rPr>
        <w:t xml:space="preserve"> </w:t>
      </w:r>
      <w:proofErr w:type="spellStart"/>
      <w:r w:rsidRPr="000C5C3A">
        <w:rPr>
          <w:rFonts w:eastAsiaTheme="minorEastAsia"/>
          <w:i/>
          <w:iCs/>
          <w:sz w:val="16"/>
          <w:szCs w:val="16"/>
          <w:lang w:val="fr-FR" w:bidi="en-US"/>
        </w:rPr>
        <w:t>Némouna</w:t>
      </w:r>
      <w:proofErr w:type="spellEnd"/>
      <w:r w:rsidRPr="000C5C3A">
        <w:rPr>
          <w:rFonts w:eastAsiaTheme="minorEastAsia"/>
          <w:i/>
          <w:iCs/>
          <w:sz w:val="16"/>
          <w:szCs w:val="16"/>
          <w:lang w:val="fr-FR" w:bidi="en-US"/>
        </w:rPr>
        <w:t xml:space="preserve"> ; </w:t>
      </w:r>
      <w:bookmarkStart w:id="6" w:name="_Hlk156403339"/>
      <w:bookmarkEnd w:id="5"/>
      <w:r w:rsidR="007C4F87" w:rsidRPr="000C5C3A">
        <w:rPr>
          <w:rFonts w:ascii="Calibri" w:eastAsia="Times New Roman" w:hAnsi="Calibri" w:cs="Arial"/>
          <w:i/>
          <w:iCs/>
          <w:sz w:val="16"/>
          <w:szCs w:val="16"/>
          <w:u w:val="single"/>
          <w:lang w:val="fr-FR"/>
        </w:rPr>
        <w:fldChar w:fldCharType="begin"/>
      </w:r>
      <w:r w:rsidR="007C4F87" w:rsidRPr="000C5C3A">
        <w:rPr>
          <w:rFonts w:ascii="Calibri" w:eastAsia="Times New Roman" w:hAnsi="Calibri" w:cs="Arial"/>
          <w:i/>
          <w:iCs/>
          <w:sz w:val="16"/>
          <w:szCs w:val="16"/>
          <w:u w:val="single"/>
          <w:lang w:val="fr-FR"/>
        </w:rPr>
        <w:instrText>HYPERLINK "C:\\Users\\NM\\Documents\\Perso\\Tafssir Sheikh Ishak\\Version Finale\\quran.inoor.ir"</w:instrText>
      </w:r>
      <w:r w:rsidR="007C4F87" w:rsidRPr="000C5C3A">
        <w:rPr>
          <w:rFonts w:ascii="Calibri" w:eastAsia="Times New Roman" w:hAnsi="Calibri" w:cs="Arial"/>
          <w:i/>
          <w:iCs/>
          <w:sz w:val="16"/>
          <w:szCs w:val="16"/>
          <w:u w:val="single"/>
          <w:lang w:val="fr-FR"/>
        </w:rPr>
      </w:r>
      <w:r w:rsidR="007C4F87" w:rsidRPr="000C5C3A">
        <w:rPr>
          <w:rFonts w:ascii="Calibri" w:eastAsia="Times New Roman" w:hAnsi="Calibri" w:cs="Arial"/>
          <w:i/>
          <w:iCs/>
          <w:sz w:val="16"/>
          <w:szCs w:val="16"/>
          <w:u w:val="single"/>
          <w:lang w:val="fr-FR"/>
        </w:rPr>
        <w:fldChar w:fldCharType="separate"/>
      </w:r>
      <w:r w:rsidR="007C4F87" w:rsidRPr="000C5C3A">
        <w:rPr>
          <w:rStyle w:val="Lienhypertexte"/>
          <w:rFonts w:ascii="Calibri" w:eastAsia="Times New Roman" w:hAnsi="Calibri" w:cs="Arial"/>
          <w:i/>
          <w:iCs/>
          <w:color w:val="auto"/>
          <w:sz w:val="16"/>
          <w:szCs w:val="16"/>
          <w:lang w:val="fr-FR"/>
        </w:rPr>
        <w:t>quran.inoor.ir</w:t>
      </w:r>
      <w:bookmarkEnd w:id="6"/>
      <w:r w:rsidR="007C4F87" w:rsidRPr="000C5C3A">
        <w:rPr>
          <w:rFonts w:ascii="Calibri" w:eastAsia="Times New Roman" w:hAnsi="Calibri" w:cs="Arial"/>
          <w:i/>
          <w:iCs/>
          <w:sz w:val="16"/>
          <w:szCs w:val="16"/>
          <w:u w:val="single"/>
          <w:lang w:val="fr-FR"/>
        </w:rPr>
        <w:fldChar w:fldCharType="end"/>
      </w:r>
    </w:p>
  </w:footnote>
  <w:footnote w:id="6">
    <w:p w14:paraId="34A05479" w14:textId="45436956" w:rsidR="0065627F" w:rsidRPr="000C5C3A" w:rsidRDefault="0065627F" w:rsidP="00F5521C">
      <w:pPr>
        <w:spacing w:after="0" w:line="240" w:lineRule="auto"/>
        <w:ind w:firstLine="0"/>
        <w:rPr>
          <w:rFonts w:cstheme="minorHAnsi"/>
          <w:sz w:val="16"/>
          <w:szCs w:val="16"/>
        </w:rPr>
      </w:pPr>
      <w:r w:rsidRPr="000C5C3A">
        <w:rPr>
          <w:rStyle w:val="Appelnotedebasdep"/>
          <w:sz w:val="16"/>
          <w:szCs w:val="16"/>
        </w:rPr>
        <w:footnoteRef/>
      </w:r>
      <w:r w:rsidRPr="000C5C3A">
        <w:rPr>
          <w:sz w:val="16"/>
          <w:szCs w:val="16"/>
        </w:rPr>
        <w:t xml:space="preserve"> </w:t>
      </w:r>
      <w:r w:rsidRPr="000C5C3A">
        <w:rPr>
          <w:rFonts w:cstheme="minorHAnsi"/>
          <w:sz w:val="16"/>
          <w:szCs w:val="16"/>
        </w:rPr>
        <w:t xml:space="preserve">Le </w:t>
      </w:r>
      <w:proofErr w:type="spellStart"/>
      <w:r w:rsidRPr="000C5C3A">
        <w:rPr>
          <w:rFonts w:cstheme="minorHAnsi"/>
          <w:sz w:val="16"/>
          <w:szCs w:val="16"/>
        </w:rPr>
        <w:t>Tawaf</w:t>
      </w:r>
      <w:proofErr w:type="spellEnd"/>
      <w:r w:rsidRPr="000C5C3A">
        <w:rPr>
          <w:rFonts w:cstheme="minorHAnsi"/>
          <w:sz w:val="16"/>
          <w:szCs w:val="16"/>
        </w:rPr>
        <w:t xml:space="preserve"> ou la circumambulation de la Kaaba est l'un des rituels les plus importants du pèlerinage musulman (le Hajj) et de la Oumra. Elle consiste à faire sept tours complets autour de la Kaaba de manière anti-horaire, en partant de la pierre noire située dans l'angle nord-est. Au cours des sept tours, les pèlerins doivent avoir la Kaaba sur leur gauche, afin de reproduire les mouvements d'Adam (a), Ève, Abraham (a) et </w:t>
      </w:r>
      <w:proofErr w:type="spellStart"/>
      <w:r w:rsidRPr="000C5C3A">
        <w:rPr>
          <w:rFonts w:cstheme="minorHAnsi"/>
          <w:sz w:val="16"/>
          <w:szCs w:val="16"/>
        </w:rPr>
        <w:t>Ismael</w:t>
      </w:r>
      <w:proofErr w:type="spellEnd"/>
      <w:r w:rsidRPr="000C5C3A">
        <w:rPr>
          <w:rFonts w:cstheme="minorHAnsi"/>
          <w:sz w:val="16"/>
          <w:szCs w:val="16"/>
        </w:rPr>
        <w:t xml:space="preserve"> (a) lors de la construction de la Kaaba. Le </w:t>
      </w:r>
      <w:proofErr w:type="spellStart"/>
      <w:r w:rsidRPr="000C5C3A">
        <w:rPr>
          <w:rFonts w:cstheme="minorHAnsi"/>
          <w:sz w:val="16"/>
          <w:szCs w:val="16"/>
        </w:rPr>
        <w:t>Tawaf</w:t>
      </w:r>
      <w:proofErr w:type="spellEnd"/>
      <w:r w:rsidRPr="000C5C3A">
        <w:rPr>
          <w:rFonts w:cstheme="minorHAnsi"/>
          <w:sz w:val="16"/>
          <w:szCs w:val="16"/>
        </w:rPr>
        <w:t xml:space="preserve"> symbolise le rassemblement de toute l'humanité autour de Dieu. Elle exprime l'unité des musulmans en prière. Il est recommandé de faire les tours de manière continue, sans s'arrêter, et à une vitesse modérée afin de méditer sur les versets du Coran relatifs à la Kaaba. La circumambulation est l'un des rituels les plus anciens associés à la Kaaba, remontant probablement aux origines du monothéisme abrahamique.</w:t>
      </w:r>
    </w:p>
  </w:footnote>
  <w:footnote w:id="7">
    <w:p w14:paraId="3ED86793" w14:textId="3A7B169E" w:rsidR="0065627F" w:rsidRPr="000C5C3A" w:rsidRDefault="0065627F" w:rsidP="00F5521C">
      <w:pPr>
        <w:spacing w:after="0" w:line="240" w:lineRule="auto"/>
        <w:ind w:firstLine="0"/>
        <w:rPr>
          <w:rFonts w:cstheme="minorHAnsi"/>
          <w:sz w:val="16"/>
          <w:szCs w:val="16"/>
          <w:lang w:bidi="fa-IR"/>
        </w:rPr>
      </w:pPr>
      <w:r w:rsidRPr="000C5C3A">
        <w:rPr>
          <w:rStyle w:val="Appelnotedebasdep"/>
          <w:sz w:val="16"/>
          <w:szCs w:val="16"/>
        </w:rPr>
        <w:footnoteRef/>
      </w:r>
      <w:r w:rsidRPr="000C5C3A">
        <w:rPr>
          <w:sz w:val="16"/>
          <w:szCs w:val="16"/>
        </w:rPr>
        <w:t xml:space="preserve"> </w:t>
      </w:r>
      <w:r w:rsidRPr="000C5C3A">
        <w:rPr>
          <w:rFonts w:cstheme="minorHAnsi"/>
          <w:sz w:val="16"/>
          <w:szCs w:val="16"/>
          <w:lang w:bidi="fa-IR"/>
        </w:rPr>
        <w:t>L'</w:t>
      </w:r>
      <w:proofErr w:type="spellStart"/>
      <w:r w:rsidRPr="000C5C3A">
        <w:rPr>
          <w:rFonts w:cstheme="minorHAnsi"/>
          <w:sz w:val="16"/>
          <w:szCs w:val="16"/>
          <w:lang w:bidi="fa-IR"/>
        </w:rPr>
        <w:t>éhtiqaaf</w:t>
      </w:r>
      <w:proofErr w:type="spellEnd"/>
      <w:r w:rsidRPr="000C5C3A">
        <w:rPr>
          <w:rFonts w:cstheme="minorHAnsi"/>
          <w:sz w:val="16"/>
          <w:szCs w:val="16"/>
          <w:lang w:bidi="fa-IR"/>
        </w:rPr>
        <w:t xml:space="preserve"> (retraite spirituelle) est une pratique islamique consistant à rester dans une mosquée pendant quelques jours (au moins trois jours), à se consacrer à l'adoration pendant ces jours et à s'éloigner des affaires d</w:t>
      </w:r>
      <w:r w:rsidR="00A32B64" w:rsidRPr="000C5C3A">
        <w:rPr>
          <w:rFonts w:cstheme="minorHAnsi"/>
          <w:sz w:val="16"/>
          <w:szCs w:val="16"/>
          <w:lang w:bidi="fa-IR"/>
        </w:rPr>
        <w:t>e ce</w:t>
      </w:r>
      <w:r w:rsidRPr="000C5C3A">
        <w:rPr>
          <w:rFonts w:cstheme="minorHAnsi"/>
          <w:sz w:val="16"/>
          <w:szCs w:val="16"/>
          <w:lang w:bidi="fa-IR"/>
        </w:rPr>
        <w:t xml:space="preserve"> monde. L'</w:t>
      </w:r>
      <w:proofErr w:type="spellStart"/>
      <w:r w:rsidRPr="000C5C3A">
        <w:rPr>
          <w:rFonts w:cstheme="minorHAnsi"/>
          <w:sz w:val="16"/>
          <w:szCs w:val="16"/>
          <w:lang w:bidi="fa-IR"/>
        </w:rPr>
        <w:t>éhtiqaaf</w:t>
      </w:r>
      <w:proofErr w:type="spellEnd"/>
      <w:r w:rsidRPr="000C5C3A">
        <w:rPr>
          <w:rFonts w:cstheme="minorHAnsi"/>
          <w:sz w:val="16"/>
          <w:szCs w:val="16"/>
          <w:lang w:bidi="fa-IR"/>
        </w:rPr>
        <w:t xml:space="preserve"> consiste à rester jour et nuit dans la mosquée sans en sortir</w:t>
      </w:r>
      <w:r w:rsidR="00A32B64" w:rsidRPr="000C5C3A">
        <w:rPr>
          <w:rFonts w:cstheme="minorHAnsi"/>
          <w:sz w:val="16"/>
          <w:szCs w:val="16"/>
          <w:lang w:bidi="fa-IR"/>
        </w:rPr>
        <w:t>,</w:t>
      </w:r>
      <w:r w:rsidRPr="000C5C3A">
        <w:rPr>
          <w:rFonts w:cstheme="minorHAnsi"/>
          <w:sz w:val="16"/>
          <w:szCs w:val="16"/>
          <w:lang w:bidi="fa-IR"/>
        </w:rPr>
        <w:t xml:space="preserve"> sauf pour des besoins indispensables. L'</w:t>
      </w:r>
      <w:proofErr w:type="spellStart"/>
      <w:r w:rsidRPr="000C5C3A">
        <w:rPr>
          <w:rFonts w:cstheme="minorHAnsi"/>
          <w:sz w:val="16"/>
          <w:szCs w:val="16"/>
          <w:lang w:bidi="fa-IR"/>
        </w:rPr>
        <w:t>éhtiqaaf</w:t>
      </w:r>
      <w:proofErr w:type="spellEnd"/>
      <w:r w:rsidRPr="000C5C3A">
        <w:rPr>
          <w:rFonts w:cstheme="minorHAnsi"/>
          <w:sz w:val="16"/>
          <w:szCs w:val="16"/>
          <w:lang w:bidi="fa-IR"/>
        </w:rPr>
        <w:t xml:space="preserve"> est une sounna recommandée, mais non obligatoire. Le Prophète Mohammad (s) s'isolait lui-même </w:t>
      </w:r>
      <w:r w:rsidR="00A32B64" w:rsidRPr="000C5C3A">
        <w:rPr>
          <w:rFonts w:cstheme="minorHAnsi"/>
          <w:sz w:val="16"/>
          <w:szCs w:val="16"/>
          <w:lang w:bidi="fa-IR"/>
        </w:rPr>
        <w:t>pour</w:t>
      </w:r>
      <w:r w:rsidRPr="000C5C3A">
        <w:rPr>
          <w:rFonts w:cstheme="minorHAnsi"/>
          <w:sz w:val="16"/>
          <w:szCs w:val="16"/>
          <w:lang w:bidi="fa-IR"/>
        </w:rPr>
        <w:t xml:space="preserve"> une retraite spirituelle dans la mosquée pendant quelques jours. Selon les jurisconsultes chiites, la période de l’</w:t>
      </w:r>
      <w:proofErr w:type="spellStart"/>
      <w:r w:rsidRPr="000C5C3A">
        <w:rPr>
          <w:rFonts w:cstheme="minorHAnsi"/>
          <w:sz w:val="16"/>
          <w:szCs w:val="16"/>
          <w:lang w:bidi="fa-IR"/>
        </w:rPr>
        <w:t>éhtiqaaf</w:t>
      </w:r>
      <w:proofErr w:type="spellEnd"/>
      <w:r w:rsidRPr="000C5C3A">
        <w:rPr>
          <w:rFonts w:cstheme="minorHAnsi"/>
          <w:sz w:val="16"/>
          <w:szCs w:val="16"/>
          <w:lang w:bidi="fa-IR"/>
        </w:rPr>
        <w:t xml:space="preserve"> est d'au moins trois jours, et après la fin du deuxième jour, l’</w:t>
      </w:r>
      <w:proofErr w:type="spellStart"/>
      <w:r w:rsidRPr="000C5C3A">
        <w:rPr>
          <w:rFonts w:cstheme="minorHAnsi"/>
          <w:sz w:val="16"/>
          <w:szCs w:val="16"/>
          <w:lang w:bidi="fa-IR"/>
        </w:rPr>
        <w:t>éhtiqaaf</w:t>
      </w:r>
      <w:proofErr w:type="spellEnd"/>
      <w:r w:rsidRPr="000C5C3A">
        <w:rPr>
          <w:rFonts w:cstheme="minorHAnsi"/>
          <w:sz w:val="16"/>
          <w:szCs w:val="16"/>
          <w:lang w:bidi="fa-IR"/>
        </w:rPr>
        <w:t xml:space="preserve"> du troisième jour devient obligatoire. Selon les jurisconsultes, utiliser et sentir du parfum pendant l’</w:t>
      </w:r>
      <w:proofErr w:type="spellStart"/>
      <w:r w:rsidRPr="000C5C3A">
        <w:rPr>
          <w:rFonts w:cstheme="minorHAnsi"/>
          <w:sz w:val="16"/>
          <w:szCs w:val="16"/>
          <w:lang w:bidi="fa-IR"/>
        </w:rPr>
        <w:t>éhtiqaaf</w:t>
      </w:r>
      <w:proofErr w:type="spellEnd"/>
      <w:r w:rsidRPr="000C5C3A">
        <w:rPr>
          <w:rFonts w:cstheme="minorHAnsi"/>
          <w:sz w:val="16"/>
          <w:szCs w:val="16"/>
          <w:lang w:bidi="fa-IR"/>
        </w:rPr>
        <w:t>, se disputer sur les affaires du monde, acheter et vendre (sauf en cas de nécessité), la masturbation et les rapports sexuels (même un simple baiser) sont interdits et invalident l’</w:t>
      </w:r>
      <w:proofErr w:type="spellStart"/>
      <w:r w:rsidRPr="000C5C3A">
        <w:rPr>
          <w:rFonts w:cstheme="minorHAnsi"/>
          <w:sz w:val="16"/>
          <w:szCs w:val="16"/>
          <w:lang w:bidi="fa-IR"/>
        </w:rPr>
        <w:t>éhtiqaaf</w:t>
      </w:r>
      <w:proofErr w:type="spellEnd"/>
      <w:r w:rsidRPr="000C5C3A">
        <w:rPr>
          <w:rFonts w:cstheme="minorHAnsi"/>
          <w:sz w:val="16"/>
          <w:szCs w:val="16"/>
          <w:lang w:bidi="fa-IR"/>
        </w:rPr>
        <w:t>.</w:t>
      </w:r>
    </w:p>
  </w:footnote>
  <w:footnote w:id="8">
    <w:p w14:paraId="34726546" w14:textId="77777777" w:rsidR="00FA5E65" w:rsidRPr="000C5C3A" w:rsidRDefault="00FA5E65" w:rsidP="00F5521C">
      <w:pPr>
        <w:spacing w:after="0" w:line="240" w:lineRule="auto"/>
        <w:ind w:firstLine="0"/>
        <w:rPr>
          <w:i/>
          <w:iCs/>
          <w:sz w:val="16"/>
          <w:szCs w:val="16"/>
          <w:lang w:val="fr-FR"/>
        </w:rPr>
      </w:pPr>
      <w:r w:rsidRPr="000C5C3A">
        <w:rPr>
          <w:rStyle w:val="Appelnotedebasdep"/>
          <w:i/>
          <w:iCs/>
          <w:sz w:val="16"/>
          <w:szCs w:val="16"/>
        </w:rPr>
        <w:footnoteRef/>
      </w:r>
      <w:r w:rsidRPr="000C5C3A">
        <w:rPr>
          <w:i/>
          <w:iCs/>
          <w:sz w:val="16"/>
          <w:szCs w:val="16"/>
          <w:lang w:val="fr-FR"/>
        </w:rPr>
        <w:t xml:space="preserve"> </w:t>
      </w:r>
      <w:proofErr w:type="spellStart"/>
      <w:r w:rsidRPr="000C5C3A">
        <w:rPr>
          <w:i/>
          <w:iCs/>
          <w:sz w:val="16"/>
          <w:szCs w:val="16"/>
          <w:lang w:val="fr-FR"/>
        </w:rPr>
        <w:t>Tafsiré</w:t>
      </w:r>
      <w:proofErr w:type="spellEnd"/>
      <w:r w:rsidRPr="000C5C3A">
        <w:rPr>
          <w:i/>
          <w:iCs/>
          <w:sz w:val="16"/>
          <w:szCs w:val="16"/>
          <w:lang w:val="fr-FR"/>
        </w:rPr>
        <w:t xml:space="preserve"> </w:t>
      </w:r>
      <w:proofErr w:type="spellStart"/>
      <w:r w:rsidRPr="000C5C3A">
        <w:rPr>
          <w:i/>
          <w:iCs/>
          <w:sz w:val="16"/>
          <w:szCs w:val="16"/>
          <w:lang w:val="fr-FR"/>
        </w:rPr>
        <w:t>Némounà</w:t>
      </w:r>
      <w:proofErr w:type="spellEnd"/>
      <w:r w:rsidRPr="000C5C3A">
        <w:rPr>
          <w:i/>
          <w:iCs/>
          <w:sz w:val="16"/>
          <w:szCs w:val="16"/>
          <w:lang w:val="fr-FR"/>
        </w:rPr>
        <w:t>, tome 27, page 346</w:t>
      </w:r>
    </w:p>
  </w:footnote>
  <w:footnote w:id="9">
    <w:p w14:paraId="08BC9445" w14:textId="482AC068" w:rsidR="00FB67AC" w:rsidRPr="0065627F" w:rsidRDefault="00FB67AC" w:rsidP="0065627F">
      <w:pPr>
        <w:pStyle w:val="Paragraphedeliste1"/>
        <w:spacing w:after="0" w:line="240" w:lineRule="auto"/>
        <w:ind w:left="0"/>
        <w:rPr>
          <w:rFonts w:asciiTheme="minorHAnsi" w:hAnsiTheme="minorHAnsi" w:cstheme="minorBidi"/>
          <w:i/>
          <w:iCs/>
          <w:sz w:val="16"/>
          <w:szCs w:val="16"/>
          <w:lang w:val="fr-FR" w:bidi="en-US"/>
        </w:rPr>
      </w:pPr>
      <w:r w:rsidRPr="0065627F">
        <w:rPr>
          <w:rStyle w:val="Appelnotedebasdep"/>
          <w:sz w:val="16"/>
          <w:szCs w:val="16"/>
        </w:rPr>
        <w:footnoteRef/>
      </w:r>
      <w:r w:rsidRPr="00A32B64">
        <w:rPr>
          <w:sz w:val="16"/>
          <w:szCs w:val="16"/>
          <w:lang w:val="fr-RE"/>
        </w:rPr>
        <w:t xml:space="preserve"> </w:t>
      </w:r>
      <w:bookmarkStart w:id="8" w:name="_Hlk152173519"/>
      <w:proofErr w:type="spellStart"/>
      <w:r w:rsidRPr="0065627F">
        <w:rPr>
          <w:rFonts w:asciiTheme="minorHAnsi" w:hAnsiTheme="minorHAnsi" w:cstheme="minorBidi"/>
          <w:i/>
          <w:iCs/>
          <w:sz w:val="16"/>
          <w:szCs w:val="16"/>
          <w:lang w:val="fr-FR" w:bidi="en-US"/>
        </w:rPr>
        <w:t>Tafsiré</w:t>
      </w:r>
      <w:proofErr w:type="spellEnd"/>
      <w:r w:rsidRPr="0065627F">
        <w:rPr>
          <w:rFonts w:asciiTheme="minorHAnsi" w:hAnsiTheme="minorHAnsi" w:cstheme="minorBidi"/>
          <w:i/>
          <w:iCs/>
          <w:sz w:val="16"/>
          <w:szCs w:val="16"/>
          <w:lang w:val="fr-FR" w:bidi="en-US"/>
        </w:rPr>
        <w:t xml:space="preserve"> </w:t>
      </w:r>
      <w:proofErr w:type="spellStart"/>
      <w:r w:rsidRPr="0065627F">
        <w:rPr>
          <w:rFonts w:asciiTheme="minorHAnsi" w:hAnsiTheme="minorHAnsi" w:cstheme="minorBidi"/>
          <w:i/>
          <w:iCs/>
          <w:sz w:val="16"/>
          <w:szCs w:val="16"/>
          <w:lang w:val="fr-FR" w:bidi="en-US"/>
        </w:rPr>
        <w:t>Qur’ané</w:t>
      </w:r>
      <w:proofErr w:type="spellEnd"/>
      <w:r w:rsidRPr="0065627F">
        <w:rPr>
          <w:rFonts w:asciiTheme="minorHAnsi" w:hAnsiTheme="minorHAnsi" w:cstheme="minorBidi"/>
          <w:i/>
          <w:iCs/>
          <w:sz w:val="16"/>
          <w:szCs w:val="16"/>
          <w:lang w:val="fr-FR" w:bidi="en-US"/>
        </w:rPr>
        <w:t xml:space="preserve"> Mehr, tome 10, page</w:t>
      </w:r>
      <w:bookmarkEnd w:id="8"/>
      <w:r w:rsidRPr="0065627F">
        <w:rPr>
          <w:rFonts w:asciiTheme="minorHAnsi" w:hAnsiTheme="minorHAnsi" w:cstheme="minorBidi"/>
          <w:i/>
          <w:iCs/>
          <w:sz w:val="16"/>
          <w:szCs w:val="16"/>
          <w:lang w:val="fr-FR" w:bidi="en-US"/>
        </w:rPr>
        <w:t xml:space="preserve"> 529</w:t>
      </w:r>
    </w:p>
  </w:footnote>
  <w:footnote w:id="10">
    <w:p w14:paraId="3A0D4DD7" w14:textId="77777777" w:rsidR="00FA5E65" w:rsidRPr="0065627F" w:rsidRDefault="00FA5E65" w:rsidP="0065627F">
      <w:pPr>
        <w:pStyle w:val="Notedebasdepage"/>
        <w:ind w:firstLine="0"/>
        <w:rPr>
          <w:i/>
          <w:iCs/>
          <w:sz w:val="16"/>
          <w:szCs w:val="16"/>
          <w:lang w:val="fr-RE"/>
        </w:rPr>
      </w:pPr>
      <w:r w:rsidRPr="0065627F">
        <w:rPr>
          <w:rStyle w:val="Appelnotedebasdep"/>
          <w:i/>
          <w:iCs/>
          <w:sz w:val="16"/>
          <w:szCs w:val="16"/>
        </w:rPr>
        <w:footnoteRef/>
      </w:r>
      <w:r w:rsidRPr="0065627F">
        <w:rPr>
          <w:i/>
          <w:iCs/>
          <w:sz w:val="16"/>
          <w:szCs w:val="16"/>
          <w:lang w:val="fr-FR"/>
        </w:rPr>
        <w:t xml:space="preserve"> </w:t>
      </w:r>
      <w:proofErr w:type="spellStart"/>
      <w:r w:rsidRPr="0065627F">
        <w:rPr>
          <w:i/>
          <w:iCs/>
          <w:sz w:val="16"/>
          <w:szCs w:val="16"/>
          <w:lang w:val="fr-FR"/>
        </w:rPr>
        <w:t>Tafsiré</w:t>
      </w:r>
      <w:proofErr w:type="spellEnd"/>
      <w:r w:rsidRPr="0065627F">
        <w:rPr>
          <w:i/>
          <w:iCs/>
          <w:sz w:val="16"/>
          <w:szCs w:val="16"/>
          <w:lang w:val="fr-FR"/>
        </w:rPr>
        <w:t xml:space="preserve"> </w:t>
      </w:r>
      <w:proofErr w:type="spellStart"/>
      <w:r w:rsidRPr="0065627F">
        <w:rPr>
          <w:i/>
          <w:iCs/>
          <w:sz w:val="16"/>
          <w:szCs w:val="16"/>
          <w:lang w:val="fr-FR"/>
        </w:rPr>
        <w:t>Qur’ané</w:t>
      </w:r>
      <w:proofErr w:type="spellEnd"/>
      <w:r w:rsidRPr="0065627F">
        <w:rPr>
          <w:i/>
          <w:iCs/>
          <w:sz w:val="16"/>
          <w:szCs w:val="16"/>
          <w:lang w:val="fr-FR"/>
        </w:rPr>
        <w:t xml:space="preserve"> Mehr, tome 10, page 530 ; </w:t>
      </w:r>
      <w:proofErr w:type="spellStart"/>
      <w:r w:rsidRPr="0065627F">
        <w:rPr>
          <w:i/>
          <w:iCs/>
          <w:sz w:val="16"/>
          <w:szCs w:val="16"/>
          <w:lang w:val="fr-FR"/>
        </w:rPr>
        <w:t>Tafsiré</w:t>
      </w:r>
      <w:proofErr w:type="spellEnd"/>
      <w:r w:rsidRPr="0065627F">
        <w:rPr>
          <w:i/>
          <w:iCs/>
          <w:sz w:val="16"/>
          <w:szCs w:val="16"/>
          <w:lang w:val="fr-FR"/>
        </w:rPr>
        <w:t xml:space="preserve"> Nour, tome 12, page 600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1BB23404"/>
    <w:multiLevelType w:val="hybridMultilevel"/>
    <w:tmpl w:val="5C9AE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58481854">
    <w:abstractNumId w:val="0"/>
  </w:num>
  <w:num w:numId="2" w16cid:durableId="821233836">
    <w:abstractNumId w:val="2"/>
  </w:num>
  <w:num w:numId="3" w16cid:durableId="1000234899">
    <w:abstractNumId w:val="3"/>
  </w:num>
  <w:num w:numId="4" w16cid:durableId="1267466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3D"/>
    <w:rsid w:val="000167B1"/>
    <w:rsid w:val="0005472B"/>
    <w:rsid w:val="000C5C3A"/>
    <w:rsid w:val="001256DD"/>
    <w:rsid w:val="00224317"/>
    <w:rsid w:val="00251F3F"/>
    <w:rsid w:val="00256E8B"/>
    <w:rsid w:val="002E2D0A"/>
    <w:rsid w:val="002E5165"/>
    <w:rsid w:val="00315622"/>
    <w:rsid w:val="00346F30"/>
    <w:rsid w:val="003678B2"/>
    <w:rsid w:val="004158B7"/>
    <w:rsid w:val="00441E57"/>
    <w:rsid w:val="004535AC"/>
    <w:rsid w:val="0055182E"/>
    <w:rsid w:val="00597C41"/>
    <w:rsid w:val="005A132C"/>
    <w:rsid w:val="005B07AC"/>
    <w:rsid w:val="005C4A28"/>
    <w:rsid w:val="005F218E"/>
    <w:rsid w:val="00655FB1"/>
    <w:rsid w:val="0065627F"/>
    <w:rsid w:val="00675436"/>
    <w:rsid w:val="006E14EB"/>
    <w:rsid w:val="00700ED1"/>
    <w:rsid w:val="0070628B"/>
    <w:rsid w:val="007459D8"/>
    <w:rsid w:val="00796AF7"/>
    <w:rsid w:val="007A7C0D"/>
    <w:rsid w:val="007C4F87"/>
    <w:rsid w:val="007E49A9"/>
    <w:rsid w:val="007E57D2"/>
    <w:rsid w:val="00803588"/>
    <w:rsid w:val="00882C9D"/>
    <w:rsid w:val="008F293D"/>
    <w:rsid w:val="0093219D"/>
    <w:rsid w:val="00982C42"/>
    <w:rsid w:val="009C0F96"/>
    <w:rsid w:val="009E6DE7"/>
    <w:rsid w:val="009F3BD7"/>
    <w:rsid w:val="00A32B64"/>
    <w:rsid w:val="00A87B25"/>
    <w:rsid w:val="00B723E4"/>
    <w:rsid w:val="00B826C1"/>
    <w:rsid w:val="00B95177"/>
    <w:rsid w:val="00C41F17"/>
    <w:rsid w:val="00D101CA"/>
    <w:rsid w:val="00D811F1"/>
    <w:rsid w:val="00DD0819"/>
    <w:rsid w:val="00DE4891"/>
    <w:rsid w:val="00F04508"/>
    <w:rsid w:val="00F5521C"/>
    <w:rsid w:val="00F856C6"/>
    <w:rsid w:val="00FA5E65"/>
    <w:rsid w:val="00FB67A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24D0"/>
  <w15:chartTrackingRefBased/>
  <w15:docId w15:val="{5BC17B5B-1A27-48CE-9951-C2601A148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93D"/>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F293D"/>
    <w:pPr>
      <w:ind w:left="720"/>
      <w:contextualSpacing/>
    </w:pPr>
  </w:style>
  <w:style w:type="paragraph" w:styleId="Notedebasdepage">
    <w:name w:val="footnote text"/>
    <w:basedOn w:val="Normal"/>
    <w:link w:val="NotedebasdepageCar"/>
    <w:uiPriority w:val="99"/>
    <w:semiHidden/>
    <w:unhideWhenUsed/>
    <w:rsid w:val="00FB67A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B67AC"/>
    <w:rPr>
      <w:sz w:val="20"/>
      <w:szCs w:val="20"/>
      <w:lang w:val="fr-CD"/>
    </w:rPr>
  </w:style>
  <w:style w:type="character" w:styleId="Appelnotedebasdep">
    <w:name w:val="footnote reference"/>
    <w:basedOn w:val="Policepardfaut"/>
    <w:uiPriority w:val="99"/>
    <w:semiHidden/>
    <w:unhideWhenUsed/>
    <w:rsid w:val="00FB67AC"/>
    <w:rPr>
      <w:vertAlign w:val="superscript"/>
    </w:rPr>
  </w:style>
  <w:style w:type="paragraph" w:customStyle="1" w:styleId="Paragraphedeliste1">
    <w:name w:val="Paragraphe de liste1"/>
    <w:basedOn w:val="Normal"/>
    <w:rsid w:val="00FB67AC"/>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9C0F96"/>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9C0F96"/>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9C0F96"/>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9C0F96"/>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7C4F87"/>
    <w:rPr>
      <w:color w:val="0563C1" w:themeColor="hyperlink"/>
      <w:u w:val="single"/>
    </w:rPr>
  </w:style>
  <w:style w:type="character" w:styleId="Mentionnonrsolue">
    <w:name w:val="Unresolved Mention"/>
    <w:basedOn w:val="Policepardfaut"/>
    <w:uiPriority w:val="99"/>
    <w:semiHidden/>
    <w:unhideWhenUsed/>
    <w:rsid w:val="007C4F87"/>
    <w:rPr>
      <w:color w:val="605E5C"/>
      <w:shd w:val="clear" w:color="auto" w:fill="E1DFDD"/>
    </w:rPr>
  </w:style>
  <w:style w:type="paragraph" w:styleId="Rvision">
    <w:name w:val="Revision"/>
    <w:hidden/>
    <w:uiPriority w:val="99"/>
    <w:semiHidden/>
    <w:rsid w:val="0093219D"/>
    <w:pPr>
      <w:spacing w:after="0" w:line="240" w:lineRule="auto"/>
    </w:pPr>
    <w:rPr>
      <w:lang w:val="fr-CD"/>
    </w:rPr>
  </w:style>
  <w:style w:type="character" w:styleId="Marquedecommentaire">
    <w:name w:val="annotation reference"/>
    <w:basedOn w:val="Policepardfaut"/>
    <w:uiPriority w:val="99"/>
    <w:semiHidden/>
    <w:unhideWhenUsed/>
    <w:rsid w:val="0093219D"/>
    <w:rPr>
      <w:sz w:val="16"/>
      <w:szCs w:val="16"/>
    </w:rPr>
  </w:style>
  <w:style w:type="paragraph" w:styleId="Commentaire">
    <w:name w:val="annotation text"/>
    <w:basedOn w:val="Normal"/>
    <w:link w:val="CommentaireCar"/>
    <w:uiPriority w:val="99"/>
    <w:semiHidden/>
    <w:unhideWhenUsed/>
    <w:rsid w:val="0093219D"/>
    <w:pPr>
      <w:spacing w:line="240" w:lineRule="auto"/>
    </w:pPr>
    <w:rPr>
      <w:sz w:val="20"/>
      <w:szCs w:val="20"/>
    </w:rPr>
  </w:style>
  <w:style w:type="character" w:customStyle="1" w:styleId="CommentaireCar">
    <w:name w:val="Commentaire Car"/>
    <w:basedOn w:val="Policepardfaut"/>
    <w:link w:val="Commentaire"/>
    <w:uiPriority w:val="99"/>
    <w:semiHidden/>
    <w:rsid w:val="0093219D"/>
    <w:rPr>
      <w:sz w:val="20"/>
      <w:szCs w:val="20"/>
      <w:lang w:val="fr-CD"/>
    </w:rPr>
  </w:style>
  <w:style w:type="paragraph" w:styleId="Objetducommentaire">
    <w:name w:val="annotation subject"/>
    <w:basedOn w:val="Commentaire"/>
    <w:next w:val="Commentaire"/>
    <w:link w:val="ObjetducommentaireCar"/>
    <w:uiPriority w:val="99"/>
    <w:semiHidden/>
    <w:unhideWhenUsed/>
    <w:rsid w:val="0093219D"/>
    <w:rPr>
      <w:b/>
      <w:bCs/>
    </w:rPr>
  </w:style>
  <w:style w:type="character" w:customStyle="1" w:styleId="ObjetducommentaireCar">
    <w:name w:val="Objet du commentaire Car"/>
    <w:basedOn w:val="CommentaireCar"/>
    <w:link w:val="Objetducommentaire"/>
    <w:uiPriority w:val="99"/>
    <w:semiHidden/>
    <w:rsid w:val="0093219D"/>
    <w:rPr>
      <w:b/>
      <w:bCs/>
      <w:sz w:val="20"/>
      <w:szCs w:val="20"/>
      <w:lang w:val="fr-CD"/>
    </w:rPr>
  </w:style>
  <w:style w:type="paragraph" w:customStyle="1" w:styleId="pf0">
    <w:name w:val="pf0"/>
    <w:basedOn w:val="Normal"/>
    <w:rsid w:val="005A132C"/>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5A132C"/>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5E319-B117-4771-B5A7-C7A75268E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646</Words>
  <Characters>3557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8</cp:revision>
  <dcterms:created xsi:type="dcterms:W3CDTF">2024-04-14T06:31:00Z</dcterms:created>
  <dcterms:modified xsi:type="dcterms:W3CDTF">2025-09-11T12:20:00Z</dcterms:modified>
</cp:coreProperties>
</file>