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E61C23"/>
          <w:sz w:val="56"/>
        </w:rPr>
        <w:t>PREDICTIVE MARKETING ANALYTICS</w:t>
      </w:r>
    </w:p>
    <w:p>
      <w:pPr>
        <w:jc w:val="center"/>
      </w:pPr>
      <w:r>
        <w:rPr>
          <w:color w:val="1A1A1A"/>
          <w:sz w:val="32"/>
        </w:rPr>
        <w:t>A Comprehensive AI-Driven Study of Coca-Cola's</w:t>
      </w:r>
    </w:p>
    <w:p>
      <w:pPr>
        <w:jc w:val="center"/>
      </w:pPr>
      <w:r>
        <w:rPr>
          <w:i/>
          <w:color w:val="1A1A1A"/>
          <w:sz w:val="28"/>
        </w:rPr>
        <w:t>Sales Forecasting &amp; Marketing Effectiveness (2020–2026)</w:t>
      </w:r>
    </w:p>
    <w:p/>
    <w:p>
      <w:pPr>
        <w:spacing w:after="80"/>
        <w:jc w:val="center"/>
      </w:pPr>
      <w:r>
        <w:rPr>
          <w:b/>
          <w:color w:val="E61C23"/>
        </w:rPr>
        <w:t xml:space="preserve">Course: </w:t>
      </w:r>
      <w:r>
        <w:rPr>
          <w:sz w:val="22"/>
        </w:rPr>
        <w:t>AI in Business</w:t>
      </w:r>
    </w:p>
    <w:p>
      <w:pPr>
        <w:spacing w:after="80"/>
        <w:jc w:val="center"/>
      </w:pPr>
      <w:r>
        <w:rPr>
          <w:b/>
          <w:color w:val="E61C23"/>
        </w:rPr>
        <w:t xml:space="preserve">Instructor: </w:t>
      </w:r>
      <w:r>
        <w:rPr>
          <w:sz w:val="22"/>
        </w:rPr>
        <w:t>Dr. Altaf Hussain Samo</w:t>
      </w:r>
    </w:p>
    <w:p>
      <w:pPr>
        <w:spacing w:after="80"/>
        <w:jc w:val="center"/>
      </w:pPr>
      <w:r>
        <w:rPr>
          <w:b/>
          <w:color w:val="E61C23"/>
        </w:rPr>
        <w:t xml:space="preserve">Models Used: </w:t>
      </w:r>
      <w:r>
        <w:rPr>
          <w:sz w:val="22"/>
        </w:rPr>
        <w:t>Linear Regression | ARIMA(2,1,1) | K-Means Clustering</w:t>
      </w:r>
    </w:p>
    <w:p>
      <w:pPr>
        <w:spacing w:after="80"/>
        <w:jc w:val="center"/>
      </w:pPr>
      <w:r>
        <w:rPr>
          <w:b/>
          <w:color w:val="E61C23"/>
        </w:rPr>
        <w:t xml:space="preserve">Data Period: </w:t>
      </w:r>
      <w:r>
        <w:rPr>
          <w:sz w:val="22"/>
        </w:rPr>
        <w:t>2020 Q1 – 2026 Q1 (Actual + Forecast)</w:t>
      </w:r>
    </w:p>
    <w:p>
      <w:pPr>
        <w:spacing w:after="80"/>
        <w:jc w:val="center"/>
      </w:pPr>
      <w:r>
        <w:rPr>
          <w:b/>
          <w:color w:val="E61C23"/>
        </w:rPr>
        <w:t xml:space="preserve">Tools: </w:t>
      </w:r>
      <w:r>
        <w:rPr>
          <w:sz w:val="22"/>
        </w:rPr>
        <w:t>Python | Pandas | Scikit-learn | NumPy | Matplotlib</w:t>
      </w:r>
    </w:p>
    <w:p>
      <w:pPr>
        <w:spacing w:after="80"/>
        <w:jc w:val="center"/>
      </w:pPr>
      <w:r>
        <w:rPr>
          <w:b/>
          <w:color w:val="E61C23"/>
        </w:rPr>
        <w:t xml:space="preserve">Date: </w:t>
      </w:r>
      <w:r>
        <w:rPr>
          <w:sz w:val="22"/>
        </w:rPr>
        <w:t>May 2026</w:t>
      </w:r>
    </w:p>
    <w:p>
      <w:r>
        <w:br w:type="page"/>
      </w:r>
    </w:p>
    <w:p>
      <w:pPr>
        <w:pStyle w:val="Heading1"/>
        <w:jc w:val="left"/>
      </w:pPr>
      <w:r>
        <w:rPr>
          <w:b/>
          <w:color w:val="E61C23"/>
        </w:rPr>
        <w:t>TABLE OF CONTENTS</w:t>
      </w:r>
    </w:p>
    <w:p>
      <w:pPr>
        <w:spacing w:after="60"/>
      </w:pPr>
      <w:r>
        <w:rPr>
          <w:sz w:val="22"/>
        </w:rPr>
        <w:t xml:space="preserve">1. Executive Summary </w:t>
      </w:r>
      <w:r>
        <w:rPr>
          <w:color w:val="555555"/>
          <w:sz w:val="20"/>
        </w:rPr>
        <w:t>...................................... 3</w:t>
      </w:r>
    </w:p>
    <w:p>
      <w:pPr>
        <w:spacing w:after="60"/>
      </w:pPr>
      <w:r>
        <w:rPr>
          <w:sz w:val="22"/>
        </w:rPr>
        <w:t xml:space="preserve">2. Problem Statement &amp; Research Questions </w:t>
      </w:r>
      <w:r>
        <w:rPr>
          <w:color w:val="555555"/>
          <w:sz w:val="20"/>
        </w:rPr>
        <w:t>................. 3</w:t>
      </w:r>
    </w:p>
    <w:p>
      <w:pPr>
        <w:spacing w:after="60"/>
      </w:pPr>
      <w:r>
        <w:rPr>
          <w:sz w:val="22"/>
        </w:rPr>
        <w:t xml:space="preserve">3. Objectives of the Study </w:t>
      </w:r>
      <w:r>
        <w:rPr>
          <w:color w:val="555555"/>
          <w:sz w:val="20"/>
        </w:rPr>
        <w:t>................................ 4</w:t>
      </w:r>
    </w:p>
    <w:p>
      <w:pPr>
        <w:spacing w:after="60"/>
      </w:pPr>
      <w:r>
        <w:rPr>
          <w:sz w:val="22"/>
        </w:rPr>
        <w:t xml:space="preserve">4. Literature Review &amp; Theoretical Background </w:t>
      </w:r>
      <w:r>
        <w:rPr>
          <w:color w:val="555555"/>
          <w:sz w:val="20"/>
        </w:rPr>
        <w:t>............. 4</w:t>
      </w:r>
    </w:p>
    <w:p>
      <w:pPr>
        <w:spacing w:after="60"/>
      </w:pPr>
      <w:r>
        <w:rPr>
          <w:sz w:val="22"/>
        </w:rPr>
        <w:t xml:space="preserve">5. Data Sources &amp; Description (2020–2026) </w:t>
      </w:r>
      <w:r>
        <w:rPr>
          <w:color w:val="555555"/>
          <w:sz w:val="20"/>
        </w:rPr>
        <w:t>................. 5</w:t>
      </w:r>
    </w:p>
    <w:p>
      <w:pPr>
        <w:spacing w:after="60"/>
      </w:pPr>
      <w:r>
        <w:rPr>
          <w:sz w:val="22"/>
        </w:rPr>
        <w:t xml:space="preserve">6. Methodology </w:t>
      </w:r>
      <w:r>
        <w:rPr>
          <w:color w:val="555555"/>
          <w:sz w:val="20"/>
        </w:rPr>
        <w:t>............................................ 6</w:t>
      </w:r>
    </w:p>
    <w:p>
      <w:pPr>
        <w:spacing w:after="60"/>
      </w:pPr>
      <w:r>
        <w:rPr>
          <w:sz w:val="22"/>
        </w:rPr>
        <w:t xml:space="preserve">7. Model 1: Linear Regression Analysis </w:t>
      </w:r>
      <w:r>
        <w:rPr>
          <w:color w:val="555555"/>
          <w:sz w:val="20"/>
        </w:rPr>
        <w:t>.................... 7</w:t>
      </w:r>
    </w:p>
    <w:p>
      <w:pPr>
        <w:spacing w:after="60"/>
      </w:pPr>
      <w:r>
        <w:rPr>
          <w:sz w:val="22"/>
        </w:rPr>
        <w:t xml:space="preserve">8. Model 2: ARIMA Time-Series Forecasting </w:t>
      </w:r>
      <w:r>
        <w:rPr>
          <w:color w:val="555555"/>
          <w:sz w:val="20"/>
        </w:rPr>
        <w:t>................. 10</w:t>
      </w:r>
    </w:p>
    <w:p>
      <w:pPr>
        <w:spacing w:after="60"/>
      </w:pPr>
      <w:r>
        <w:rPr>
          <w:sz w:val="22"/>
        </w:rPr>
        <w:t xml:space="preserve">9. Model 3: K-Means Customer Segmentation </w:t>
      </w:r>
      <w:r>
        <w:rPr>
          <w:color w:val="555555"/>
          <w:sz w:val="20"/>
        </w:rPr>
        <w:t>................. 13</w:t>
      </w:r>
    </w:p>
    <w:p>
      <w:pPr>
        <w:spacing w:after="60"/>
      </w:pPr>
      <w:r>
        <w:rPr>
          <w:sz w:val="22"/>
        </w:rPr>
        <w:t xml:space="preserve">10. Model Comparison &amp; Evaluation </w:t>
      </w:r>
      <w:r>
        <w:rPr>
          <w:color w:val="555555"/>
          <w:sz w:val="20"/>
        </w:rPr>
        <w:t>.......................... 16</w:t>
      </w:r>
    </w:p>
    <w:p>
      <w:pPr>
        <w:spacing w:after="60"/>
      </w:pPr>
      <w:r>
        <w:rPr>
          <w:sz w:val="22"/>
        </w:rPr>
        <w:t xml:space="preserve">11. Key Results &amp; Findings </w:t>
      </w:r>
      <w:r>
        <w:rPr>
          <w:color w:val="555555"/>
          <w:sz w:val="20"/>
        </w:rPr>
        <w:t>................................. 17</w:t>
      </w:r>
    </w:p>
    <w:p>
      <w:pPr>
        <w:spacing w:after="60"/>
      </w:pPr>
      <w:r>
        <w:rPr>
          <w:sz w:val="22"/>
        </w:rPr>
        <w:t xml:space="preserve">12. Business Implications </w:t>
      </w:r>
      <w:r>
        <w:rPr>
          <w:color w:val="555555"/>
          <w:sz w:val="20"/>
        </w:rPr>
        <w:t>.................................. 18</w:t>
      </w:r>
    </w:p>
    <w:p>
      <w:pPr>
        <w:spacing w:after="60"/>
      </w:pPr>
      <w:r>
        <w:rPr>
          <w:sz w:val="22"/>
        </w:rPr>
        <w:t xml:space="preserve">13. Recommendations </w:t>
      </w:r>
      <w:r>
        <w:rPr>
          <w:color w:val="555555"/>
          <w:sz w:val="20"/>
        </w:rPr>
        <w:t>........................................ 19</w:t>
      </w:r>
    </w:p>
    <w:p>
      <w:pPr>
        <w:spacing w:after="60"/>
      </w:pPr>
      <w:r>
        <w:rPr>
          <w:sz w:val="22"/>
        </w:rPr>
        <w:t xml:space="preserve">14. Conclusion </w:t>
      </w:r>
      <w:r>
        <w:rPr>
          <w:color w:val="555555"/>
          <w:sz w:val="20"/>
        </w:rPr>
        <w:t>............................................. 20</w:t>
      </w:r>
    </w:p>
    <w:p>
      <w:pPr>
        <w:spacing w:after="60"/>
      </w:pPr>
      <w:r>
        <w:rPr>
          <w:sz w:val="22"/>
        </w:rPr>
        <w:t xml:space="preserve">15. References </w:t>
      </w:r>
      <w:r>
        <w:rPr>
          <w:color w:val="555555"/>
          <w:sz w:val="20"/>
        </w:rPr>
        <w:t>............................................. 21</w:t>
      </w:r>
    </w:p>
    <w:p>
      <w:r>
        <w:br w:type="page"/>
      </w:r>
    </w:p>
    <w:p>
      <w:pPr>
        <w:pStyle w:val="Heading1"/>
        <w:jc w:val="left"/>
      </w:pPr>
      <w:r>
        <w:rPr>
          <w:b/>
          <w:color w:val="E61C23"/>
        </w:rPr>
        <w:t>1. Executive Summary</w:t>
      </w:r>
    </w:p>
    <w:p>
      <w:pPr>
        <w:spacing w:before="0" w:after="160"/>
      </w:pPr>
      <w:r>
        <w:rPr>
          <w:b w:val="0"/>
          <w:i w:val="0"/>
          <w:sz w:val="22"/>
        </w:rPr>
        <w:t>This report presents a comprehensive predictive marketing analysis of The Coca-Cola Company (NYSE: KO) using three AI-driven machine learning models applied to real financial data from 2020 to 2026. As an assignment project for the AI in Business course, this study demonstrates how Artificial Intelligence can transform marketing decision-making by forecasting sales, evaluating advertisement effectiveness, and identifying customer segments.</w:t>
      </w:r>
    </w:p>
    <w:p>
      <w:pPr>
        <w:spacing w:before="0" w:after="160"/>
      </w:pPr>
      <w:r>
        <w:rPr>
          <w:b w:val="0"/>
          <w:i w:val="0"/>
          <w:sz w:val="22"/>
        </w:rPr>
        <w:t>Key findings reveal that Coca-Cola's global revenue grew by 45.2% from $33.01B (2020) to $47.94B (2025), driven in significant part by a dramatic digital advertising shift — from 30% digital spend in 2020 to 70% in 2025. Social media advertising demonstrates the highest return on investment at approximately $4.10 per $1 spent. Our Linear Regression model explains 89.6% of sales variance (R²=0.896), our ARIMA(2,1,1) model projects Q1 2026 revenue at $11.83B, and K-Means clustering identifies three distinct Coca-Cola consumer segments for targeted campaign design.</w:t>
      </w:r>
    </w:p>
    <w:p>
      <w:pPr>
        <w:pStyle w:val="Heading1"/>
        <w:jc w:val="left"/>
      </w:pPr>
      <w:r>
        <w:rPr>
          <w:b/>
          <w:color w:val="E61C23"/>
        </w:rPr>
        <w:t>2. Problem Statement &amp; Research Questions</w:t>
      </w:r>
    </w:p>
    <w:p>
      <w:pPr>
        <w:spacing w:before="0" w:after="120"/>
      </w:pPr>
      <w:r>
        <w:rPr>
          <w:b w:val="0"/>
          <w:i w:val="0"/>
          <w:sz w:val="22"/>
        </w:rPr>
        <w:t>Despite Coca-Cola investing approximately $5 billion annually in global advertising and marketing (2023), a fundamental business challenge persists: How effectively does each marketing channel (TV, Digital, Social Media) translate advertising investment into measurable sales outcomes? Furthermore, can AI-driven models accurately forecast future quarterly revenues to enable proactive budget allocation?</w:t>
      </w:r>
    </w:p>
    <w:p>
      <w:pPr>
        <w:spacing w:before="0" w:after="120"/>
      </w:pPr>
      <w:r>
        <w:rPr>
          <w:b/>
          <w:i w:val="0"/>
          <w:sz w:val="22"/>
        </w:rPr>
        <w:t>This study addresses three core research questions:</w:t>
      </w:r>
    </w:p>
    <w:p>
      <w:pPr>
        <w:pStyle w:val="ListBullet"/>
        <w:spacing w:after="60"/>
      </w:pPr>
      <w:r>
        <w:rPr>
          <w:b/>
          <w:color w:val="E61C23"/>
        </w:rPr>
        <w:t xml:space="preserve">RQ1: </w:t>
      </w:r>
      <w:r>
        <w:t>Which advertising channel (TV, Digital, Social Media) generates the highest sales return per dollar invested?</w:t>
      </w:r>
    </w:p>
    <w:p>
      <w:pPr>
        <w:pStyle w:val="ListBullet"/>
        <w:spacing w:after="60"/>
      </w:pPr>
      <w:r>
        <w:rPr>
          <w:b/>
          <w:color w:val="E61C23"/>
        </w:rPr>
        <w:t xml:space="preserve">RQ2: </w:t>
      </w:r>
      <w:r>
        <w:t>Can time-series AI models accurately forecast Coca-Cola's quarterly revenue for 2025–2026?</w:t>
      </w:r>
    </w:p>
    <w:p>
      <w:pPr>
        <w:pStyle w:val="ListBullet"/>
        <w:spacing w:after="60"/>
      </w:pPr>
      <w:r>
        <w:rPr>
          <w:b/>
          <w:color w:val="E61C23"/>
        </w:rPr>
        <w:t xml:space="preserve">RQ3: </w:t>
      </w:r>
      <w:r>
        <w:t>What distinct consumer segments exist, and how should Coca-Cola tailor marketing strategies for each?</w:t>
      </w:r>
    </w:p>
    <w:p>
      <w:pPr>
        <w:pStyle w:val="Heading1"/>
        <w:jc w:val="left"/>
      </w:pPr>
      <w:r>
        <w:rPr>
          <w:b/>
          <w:color w:val="E61C23"/>
        </w:rPr>
        <w:t>3. Objectives of the Study</w:t>
      </w:r>
    </w:p>
    <w:p>
      <w:pPr>
        <w:pStyle w:val="ListBullet"/>
        <w:spacing w:after="60"/>
      </w:pPr>
      <w:r>
        <w:rPr>
          <w:b/>
          <w:color w:val="E61C23"/>
        </w:rPr>
        <w:t xml:space="preserve">Analyze Historical Data: </w:t>
      </w:r>
      <w:r>
        <w:t>Examine Coca-Cola's quarterly revenue and advertising expenditures from 2020–2025 using publicly available financial filings (SEC 8-K reports).</w:t>
      </w:r>
    </w:p>
    <w:p>
      <w:pPr>
        <w:pStyle w:val="ListBullet"/>
        <w:spacing w:after="60"/>
      </w:pPr>
      <w:r>
        <w:rPr>
          <w:b/>
          <w:color w:val="E61C23"/>
        </w:rPr>
        <w:t xml:space="preserve">Identify Channel Effectiveness: </w:t>
      </w:r>
      <w:r>
        <w:t>Quantify the marginal sales impact of TV, Digital, and Social Media advertising using Multiple Linear Regression.</w:t>
      </w:r>
    </w:p>
    <w:p>
      <w:pPr>
        <w:pStyle w:val="ListBullet"/>
        <w:spacing w:after="60"/>
      </w:pPr>
      <w:r>
        <w:rPr>
          <w:b/>
          <w:color w:val="E61C23"/>
        </w:rPr>
        <w:t xml:space="preserve">Develop Forecasting Models: </w:t>
      </w:r>
      <w:r>
        <w:t>Build ARIMA(2,1,1) time-series model to predict quarterly revenue for 2025 Q1 through 2026 Q1.</w:t>
      </w:r>
    </w:p>
    <w:p>
      <w:pPr>
        <w:pStyle w:val="ListBullet"/>
        <w:spacing w:after="60"/>
      </w:pPr>
      <w:r>
        <w:rPr>
          <w:b/>
          <w:color w:val="E61C23"/>
        </w:rPr>
        <w:t xml:space="preserve">Perform Customer Segmentation: </w:t>
      </w:r>
      <w:r>
        <w:t>Apply K-Means clustering to identify distinct consumer groups and guide personalized marketing campaigns.</w:t>
      </w:r>
    </w:p>
    <w:p>
      <w:pPr>
        <w:pStyle w:val="ListBullet"/>
        <w:spacing w:after="60"/>
      </w:pPr>
      <w:r>
        <w:rPr>
          <w:b/>
          <w:color w:val="E61C23"/>
        </w:rPr>
        <w:t xml:space="preserve">Compare AI Models: </w:t>
      </w:r>
      <w:r>
        <w:t>Evaluate all three models using MAE, RMSE, and R² metrics to recommend the most effective approach.</w:t>
      </w:r>
    </w:p>
    <w:p>
      <w:pPr>
        <w:pStyle w:val="ListBullet"/>
        <w:spacing w:after="60"/>
      </w:pPr>
      <w:r>
        <w:rPr>
          <w:b/>
          <w:color w:val="E61C23"/>
        </w:rPr>
        <w:t xml:space="preserve">Business Recommendations: </w:t>
      </w:r>
      <w:r>
        <w:t>Translate analytical findings into actionable marketing strategy recommendations for Coca-Cola.</w:t>
      </w:r>
    </w:p>
    <w:p>
      <w:pPr>
        <w:pStyle w:val="Heading1"/>
        <w:jc w:val="left"/>
      </w:pPr>
      <w:r>
        <w:rPr>
          <w:b/>
          <w:color w:val="E61C23"/>
        </w:rPr>
        <w:t>4. Literature Review &amp; Theoretical Background</w:t>
      </w:r>
    </w:p>
    <w:p>
      <w:pPr>
        <w:pStyle w:val="Heading2"/>
        <w:jc w:val="left"/>
      </w:pPr>
      <w:r>
        <w:rPr>
          <w:b/>
        </w:rPr>
        <w:t>4.1 Predictive Marketing &amp; AI</w:t>
      </w:r>
    </w:p>
    <w:p>
      <w:pPr>
        <w:spacing w:before="0" w:after="120"/>
      </w:pPr>
      <w:r>
        <w:rPr>
          <w:b w:val="0"/>
          <w:i w:val="0"/>
          <w:sz w:val="22"/>
        </w:rPr>
        <w:t>Predictive marketing leverages statistical algorithms and machine learning to shift marketing strategy from reactive (historical) to proactive (forward-looking). As outlined in Session 5 of the AI in Business course, predictive tools include regression models, time-series forecasting (ARIMA, Prophet), and clustering algorithms (K-Means). These approaches are now standard in Fortune 500 companies, with Coca-Cola serving as a premier case study given its scale, data availability, and multi-channel marketing complexity.</w:t>
      </w:r>
    </w:p>
    <w:p>
      <w:pPr>
        <w:pStyle w:val="Heading2"/>
        <w:jc w:val="left"/>
      </w:pPr>
      <w:r>
        <w:rPr>
          <w:b/>
        </w:rPr>
        <w:t>4.2 Marketing Mix Modeling (MMM)</w:t>
      </w:r>
    </w:p>
    <w:p>
      <w:pPr>
        <w:spacing w:before="0" w:after="120"/>
      </w:pPr>
      <w:r>
        <w:rPr>
          <w:b w:val="0"/>
          <w:i w:val="0"/>
          <w:sz w:val="22"/>
        </w:rPr>
        <w:t>Marketing Mix Modeling quantifies the contribution of each advertising channel to overall sales. The underlying framework uses multiple regression where sales are treated as the dependent variable and advertising spend by channel as independent predictors. Coca-Cola's own CEO James Quincey confirmed in Q3 2023 that the company's digital advertising shift is 'making its brands more relevant,' validating the theoretical premise of channel-differentiated ROI analysis.</w:t>
      </w:r>
    </w:p>
    <w:p>
      <w:pPr>
        <w:pStyle w:val="Heading2"/>
        <w:jc w:val="left"/>
      </w:pPr>
      <w:r>
        <w:rPr>
          <w:b/>
        </w:rPr>
        <w:t>4.3 Time-Series Forecasting with ARIMA</w:t>
      </w:r>
    </w:p>
    <w:p>
      <w:pPr>
        <w:spacing w:before="0" w:after="120"/>
      </w:pPr>
      <w:r>
        <w:rPr>
          <w:b w:val="0"/>
          <w:i w:val="0"/>
          <w:sz w:val="22"/>
        </w:rPr>
        <w:t>The AutoRegressive Integrated Moving Average (ARIMA) model, introduced by Box and Jenkins (1970), is the gold standard for non-stationary time series. It combines three components: AutoRegressive (AR) terms that model dependency on past values, Integration (I) that achieves stationarity through differencing, and Moving Average (MA) terms that model residual autocorrelation. Beverages exhibit strong seasonality — summer peaks in Q2/Q3 — making ARIMA particularly appropriate for Coca-Cola sales forecasting.</w:t>
      </w:r>
    </w:p>
    <w:p>
      <w:pPr>
        <w:pStyle w:val="Heading2"/>
        <w:jc w:val="left"/>
      </w:pPr>
      <w:r>
        <w:rPr>
          <w:b/>
        </w:rPr>
        <w:t>4.4 Customer Segmentation via K-Means</w:t>
      </w:r>
    </w:p>
    <w:p>
      <w:pPr>
        <w:spacing w:before="0" w:after="120"/>
      </w:pPr>
      <w:r>
        <w:rPr>
          <w:b w:val="0"/>
          <w:i w:val="0"/>
          <w:sz w:val="22"/>
        </w:rPr>
        <w:t>K-Means clustering (MacQueen, 1967) partitions n observations into k clusters by minimizing within-cluster sum of squares (WCSS). In marketing, it enables firms to replace costly demographic intuition with data-driven consumer profiles. Session 3 of AI in Business demonstrated this with customer data; this report applies the same methodology to simulate Coca-Cola's consumer base segmentation, consistent with how multinationals like Coca-Cola, Starbucks, and Amazon operationalize AI for personalization.</w:t>
      </w:r>
    </w:p>
    <w:p>
      <w:r>
        <w:br w:type="page"/>
      </w:r>
    </w:p>
    <w:p>
      <w:pPr>
        <w:pStyle w:val="Heading1"/>
        <w:jc w:val="left"/>
      </w:pPr>
      <w:r>
        <w:rPr>
          <w:b/>
          <w:color w:val="E61C23"/>
        </w:rPr>
        <w:t>5. Data Sources &amp; Description (2020–2026)</w:t>
      </w:r>
    </w:p>
    <w:p>
      <w:pPr>
        <w:spacing w:before="0" w:after="80"/>
      </w:pPr>
      <w:r>
        <w:rPr>
          <w:b w:val="0"/>
          <w:i w:val="0"/>
          <w:sz w:val="22"/>
        </w:rPr>
        <w:t>All revenue and financial data was sourced from official Coca-Cola Company filings and verified financial databases:</w:t>
      </w:r>
    </w:p>
    <w:p>
      <w:pPr>
        <w:pStyle w:val="ListBullet"/>
        <w:spacing w:after="60"/>
      </w:pPr>
      <w:r>
        <w:rPr>
          <w:b/>
          <w:color w:val="E61C23"/>
        </w:rPr>
        <w:t xml:space="preserve">SEC EDGAR / Form 8-K: </w:t>
      </w:r>
      <w:r>
        <w:t>Quarterly and annual revenue figures for The Coca-Cola Company (NYSE: KO) — primary source for all financial data</w:t>
      </w:r>
    </w:p>
    <w:p>
      <w:pPr>
        <w:pStyle w:val="ListBullet"/>
        <w:spacing w:after="60"/>
      </w:pPr>
      <w:r>
        <w:rPr>
          <w:b/>
          <w:color w:val="E61C23"/>
        </w:rPr>
        <w:t xml:space="preserve">MacroTrends.net: </w:t>
      </w:r>
      <w:r>
        <w:t>Historical annual revenue cross-verification: 2020: $33.01B, 2021: $38.66B, 2022: $43.00B, 2023: $45.75B, 2024: $47.06B, 2025: $47.94B</w:t>
      </w:r>
    </w:p>
    <w:p>
      <w:pPr>
        <w:pStyle w:val="ListBullet"/>
        <w:spacing w:after="60"/>
      </w:pPr>
      <w:r>
        <w:rPr>
          <w:b/>
          <w:color w:val="E61C23"/>
        </w:rPr>
        <w:t xml:space="preserve">Statista / Sci-Tech-Today: </w:t>
      </w:r>
      <w:r>
        <w:t>Advertising expenditure figures and channel-level spending breakdowns 2020–2024</w:t>
      </w:r>
    </w:p>
    <w:p>
      <w:pPr>
        <w:pStyle w:val="ListBullet"/>
        <w:spacing w:after="60"/>
      </w:pPr>
      <w:r>
        <w:rPr>
          <w:b/>
          <w:color w:val="E61C23"/>
        </w:rPr>
        <w:t xml:space="preserve">Zippia / CySoda Research: </w:t>
      </w:r>
      <w:r>
        <w:t>Global ad spend estimates: 2020: $2.8B, 2021: $3.5B, 2022: $4.0B, 2023: ~$5.0B</w:t>
      </w:r>
    </w:p>
    <w:p>
      <w:pPr>
        <w:pStyle w:val="ListBullet"/>
        <w:spacing w:after="60"/>
      </w:pPr>
      <w:r>
        <w:rPr>
          <w:b/>
          <w:color w:val="E61C23"/>
        </w:rPr>
        <w:t xml:space="preserve">LinkedIn / CEO Statements: </w:t>
      </w:r>
      <w:r>
        <w:t>Digital shift confirmation: CEO James Quincey stated digital rose from 30% (2019) to 60%+ by Q3 2023</w:t>
      </w:r>
    </w:p>
    <w:p>
      <w:pPr>
        <w:pStyle w:val="ListBullet"/>
        <w:spacing w:after="60"/>
      </w:pPr>
      <w:r>
        <w:rPr>
          <w:b/>
          <w:color w:val="E61C23"/>
        </w:rPr>
        <w:t xml:space="preserve">WallStreetZen: </w:t>
      </w:r>
      <w:r>
        <w:t>Q1 2026 TTM revenue: $49.28B (12.07% YoY growth), cross-validating ARIMA forecast</w:t>
      </w:r>
    </w:p>
    <w:p/>
    <w:p>
      <w:pPr>
        <w:pStyle w:val="Heading2"/>
        <w:jc w:val="left"/>
      </w:pPr>
      <w:r>
        <w:rPr>
          <w:b/>
        </w:rPr>
        <w:t>5.1 Annual Revenue &amp; Advertising Data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E61C23"/>
          </w:tcPr>
          <w:p>
            <w:pPr>
              <w:jc w:val="center"/>
            </w:pPr>
            <w:r>
              <w:rPr>
                <w:b/>
                <w:color w:val="FFFFFF"/>
                <w:sz w:val="20"/>
              </w:rPr>
              <w:t>Year</w:t>
            </w:r>
          </w:p>
        </w:tc>
        <w:tc>
          <w:tcPr>
            <w:tcW w:type="dxa" w:w="1560"/>
            <w:shd w:val="clear" w:color="auto" w:fill="E61C23"/>
          </w:tcPr>
          <w:p>
            <w:pPr>
              <w:jc w:val="center"/>
            </w:pPr>
            <w:r>
              <w:rPr>
                <w:b/>
                <w:color w:val="FFFFFF"/>
                <w:sz w:val="20"/>
              </w:rPr>
              <w:t>Revenue ($B)</w:t>
            </w:r>
          </w:p>
        </w:tc>
        <w:tc>
          <w:tcPr>
            <w:tcW w:type="dxa" w:w="1560"/>
            <w:shd w:val="clear" w:color="auto" w:fill="E61C23"/>
          </w:tcPr>
          <w:p>
            <w:pPr>
              <w:jc w:val="center"/>
            </w:pPr>
            <w:r>
              <w:rPr>
                <w:b/>
                <w:color w:val="FFFFFF"/>
                <w:sz w:val="20"/>
              </w:rPr>
              <w:t>Ad Spend ($B)</w:t>
            </w:r>
          </w:p>
        </w:tc>
        <w:tc>
          <w:tcPr>
            <w:tcW w:type="dxa" w:w="1560"/>
            <w:shd w:val="clear" w:color="auto" w:fill="E61C23"/>
          </w:tcPr>
          <w:p>
            <w:pPr>
              <w:jc w:val="center"/>
            </w:pPr>
            <w:r>
              <w:rPr>
                <w:b/>
                <w:color w:val="FFFFFF"/>
                <w:sz w:val="20"/>
              </w:rPr>
              <w:t>Digital %</w:t>
            </w:r>
          </w:p>
        </w:tc>
        <w:tc>
          <w:tcPr>
            <w:tcW w:type="dxa" w:w="1560"/>
            <w:shd w:val="clear" w:color="auto" w:fill="E61C23"/>
          </w:tcPr>
          <w:p>
            <w:pPr>
              <w:jc w:val="center"/>
            </w:pPr>
            <w:r>
              <w:rPr>
                <w:b/>
                <w:color w:val="FFFFFF"/>
                <w:sz w:val="20"/>
              </w:rPr>
              <w:t>TV %</w:t>
            </w:r>
          </w:p>
        </w:tc>
        <w:tc>
          <w:tcPr>
            <w:tcW w:type="dxa" w:w="1560"/>
            <w:shd w:val="clear" w:color="auto" w:fill="E61C23"/>
          </w:tcPr>
          <w:p>
            <w:pPr>
              <w:jc w:val="center"/>
            </w:pPr>
            <w:r>
              <w:rPr>
                <w:b/>
                <w:color w:val="FFFFFF"/>
                <w:sz w:val="20"/>
              </w:rPr>
              <w:t>Ad/Rev %</w:t>
            </w:r>
          </w:p>
        </w:tc>
      </w:tr>
      <w:tr>
        <w:tc>
          <w:tcPr>
            <w:tcW w:type="dxa" w:w="1560"/>
            <w:shd w:val="clear" w:color="auto" w:fill="FFE5E5"/>
          </w:tcPr>
          <w:p>
            <w:pPr>
              <w:jc w:val="center"/>
            </w:pPr>
            <w:r>
              <w:rPr>
                <w:b/>
                <w:sz w:val="20"/>
              </w:rPr>
              <w:t>2020</w:t>
            </w:r>
          </w:p>
        </w:tc>
        <w:tc>
          <w:tcPr>
            <w:tcW w:type="dxa" w:w="1560"/>
            <w:shd w:val="clear" w:color="auto" w:fill="FFE5E5"/>
          </w:tcPr>
          <w:p>
            <w:pPr>
              <w:jc w:val="center"/>
            </w:pPr>
            <w:r>
              <w:rPr>
                <w:sz w:val="20"/>
              </w:rPr>
              <w:t>33.01</w:t>
            </w:r>
          </w:p>
        </w:tc>
        <w:tc>
          <w:tcPr>
            <w:tcW w:type="dxa" w:w="1560"/>
            <w:shd w:val="clear" w:color="auto" w:fill="FFE5E5"/>
          </w:tcPr>
          <w:p>
            <w:pPr>
              <w:jc w:val="center"/>
            </w:pPr>
            <w:r>
              <w:rPr>
                <w:sz w:val="20"/>
              </w:rPr>
              <w:t>2.80</w:t>
            </w:r>
          </w:p>
        </w:tc>
        <w:tc>
          <w:tcPr>
            <w:tcW w:type="dxa" w:w="1560"/>
            <w:shd w:val="clear" w:color="auto" w:fill="FFE5E5"/>
          </w:tcPr>
          <w:p>
            <w:pPr>
              <w:jc w:val="center"/>
            </w:pPr>
            <w:r>
              <w:rPr>
                <w:sz w:val="20"/>
              </w:rPr>
              <w:t>30%</w:t>
            </w:r>
          </w:p>
        </w:tc>
        <w:tc>
          <w:tcPr>
            <w:tcW w:type="dxa" w:w="1560"/>
            <w:shd w:val="clear" w:color="auto" w:fill="FFE5E5"/>
          </w:tcPr>
          <w:p>
            <w:pPr>
              <w:jc w:val="center"/>
            </w:pPr>
            <w:r>
              <w:rPr>
                <w:sz w:val="20"/>
              </w:rPr>
              <w:t>70%</w:t>
            </w:r>
          </w:p>
        </w:tc>
        <w:tc>
          <w:tcPr>
            <w:tcW w:type="dxa" w:w="1560"/>
            <w:shd w:val="clear" w:color="auto" w:fill="FFE5E5"/>
          </w:tcPr>
          <w:p>
            <w:pPr>
              <w:jc w:val="center"/>
            </w:pPr>
            <w:r>
              <w:rPr>
                <w:sz w:val="20"/>
              </w:rPr>
              <w:t>8.5%</w:t>
            </w:r>
          </w:p>
        </w:tc>
      </w:tr>
      <w:tr>
        <w:tc>
          <w:tcPr>
            <w:tcW w:type="dxa" w:w="1560"/>
          </w:tcPr>
          <w:p>
            <w:pPr>
              <w:jc w:val="center"/>
            </w:pPr>
            <w:r>
              <w:rPr>
                <w:b/>
                <w:sz w:val="20"/>
              </w:rPr>
              <w:t>2021</w:t>
            </w:r>
          </w:p>
        </w:tc>
        <w:tc>
          <w:tcPr>
            <w:tcW w:type="dxa" w:w="1560"/>
          </w:tcPr>
          <w:p>
            <w:pPr>
              <w:jc w:val="center"/>
            </w:pPr>
            <w:r>
              <w:rPr>
                <w:sz w:val="20"/>
              </w:rPr>
              <w:t>38.66</w:t>
            </w:r>
          </w:p>
        </w:tc>
        <w:tc>
          <w:tcPr>
            <w:tcW w:type="dxa" w:w="1560"/>
          </w:tcPr>
          <w:p>
            <w:pPr>
              <w:jc w:val="center"/>
            </w:pPr>
            <w:r>
              <w:rPr>
                <w:sz w:val="20"/>
              </w:rPr>
              <w:t>3.50</w:t>
            </w:r>
          </w:p>
        </w:tc>
        <w:tc>
          <w:tcPr>
            <w:tcW w:type="dxa" w:w="1560"/>
          </w:tcPr>
          <w:p>
            <w:pPr>
              <w:jc w:val="center"/>
            </w:pPr>
            <w:r>
              <w:rPr>
                <w:sz w:val="20"/>
              </w:rPr>
              <w:t>45%</w:t>
            </w:r>
          </w:p>
        </w:tc>
        <w:tc>
          <w:tcPr>
            <w:tcW w:type="dxa" w:w="1560"/>
          </w:tcPr>
          <w:p>
            <w:pPr>
              <w:jc w:val="center"/>
            </w:pPr>
            <w:r>
              <w:rPr>
                <w:sz w:val="20"/>
              </w:rPr>
              <w:t>55%</w:t>
            </w:r>
          </w:p>
        </w:tc>
        <w:tc>
          <w:tcPr>
            <w:tcW w:type="dxa" w:w="1560"/>
          </w:tcPr>
          <w:p>
            <w:pPr>
              <w:jc w:val="center"/>
            </w:pPr>
            <w:r>
              <w:rPr>
                <w:sz w:val="20"/>
              </w:rPr>
              <w:t>9.1%</w:t>
            </w:r>
          </w:p>
        </w:tc>
      </w:tr>
      <w:tr>
        <w:tc>
          <w:tcPr>
            <w:tcW w:type="dxa" w:w="1560"/>
            <w:shd w:val="clear" w:color="auto" w:fill="FFE5E5"/>
          </w:tcPr>
          <w:p>
            <w:pPr>
              <w:jc w:val="center"/>
            </w:pPr>
            <w:r>
              <w:rPr>
                <w:b/>
                <w:sz w:val="20"/>
              </w:rPr>
              <w:t>2022</w:t>
            </w:r>
          </w:p>
        </w:tc>
        <w:tc>
          <w:tcPr>
            <w:tcW w:type="dxa" w:w="1560"/>
            <w:shd w:val="clear" w:color="auto" w:fill="FFE5E5"/>
          </w:tcPr>
          <w:p>
            <w:pPr>
              <w:jc w:val="center"/>
            </w:pPr>
            <w:r>
              <w:rPr>
                <w:sz w:val="20"/>
              </w:rPr>
              <w:t>43.00</w:t>
            </w:r>
          </w:p>
        </w:tc>
        <w:tc>
          <w:tcPr>
            <w:tcW w:type="dxa" w:w="1560"/>
            <w:shd w:val="clear" w:color="auto" w:fill="FFE5E5"/>
          </w:tcPr>
          <w:p>
            <w:pPr>
              <w:jc w:val="center"/>
            </w:pPr>
            <w:r>
              <w:rPr>
                <w:sz w:val="20"/>
              </w:rPr>
              <w:t>4.00</w:t>
            </w:r>
          </w:p>
        </w:tc>
        <w:tc>
          <w:tcPr>
            <w:tcW w:type="dxa" w:w="1560"/>
            <w:shd w:val="clear" w:color="auto" w:fill="FFE5E5"/>
          </w:tcPr>
          <w:p>
            <w:pPr>
              <w:jc w:val="center"/>
            </w:pPr>
            <w:r>
              <w:rPr>
                <w:sz w:val="20"/>
              </w:rPr>
              <w:t>55%</w:t>
            </w:r>
          </w:p>
        </w:tc>
        <w:tc>
          <w:tcPr>
            <w:tcW w:type="dxa" w:w="1560"/>
            <w:shd w:val="clear" w:color="auto" w:fill="FFE5E5"/>
          </w:tcPr>
          <w:p>
            <w:pPr>
              <w:jc w:val="center"/>
            </w:pPr>
            <w:r>
              <w:rPr>
                <w:sz w:val="20"/>
              </w:rPr>
              <w:t>45%</w:t>
            </w:r>
          </w:p>
        </w:tc>
        <w:tc>
          <w:tcPr>
            <w:tcW w:type="dxa" w:w="1560"/>
            <w:shd w:val="clear" w:color="auto" w:fill="FFE5E5"/>
          </w:tcPr>
          <w:p>
            <w:pPr>
              <w:jc w:val="center"/>
            </w:pPr>
            <w:r>
              <w:rPr>
                <w:sz w:val="20"/>
              </w:rPr>
              <w:t>9.3%</w:t>
            </w:r>
          </w:p>
        </w:tc>
      </w:tr>
      <w:tr>
        <w:tc>
          <w:tcPr>
            <w:tcW w:type="dxa" w:w="1560"/>
          </w:tcPr>
          <w:p>
            <w:pPr>
              <w:jc w:val="center"/>
            </w:pPr>
            <w:r>
              <w:rPr>
                <w:b/>
                <w:sz w:val="20"/>
              </w:rPr>
              <w:t>2023</w:t>
            </w:r>
          </w:p>
        </w:tc>
        <w:tc>
          <w:tcPr>
            <w:tcW w:type="dxa" w:w="1560"/>
          </w:tcPr>
          <w:p>
            <w:pPr>
              <w:jc w:val="center"/>
            </w:pPr>
            <w:r>
              <w:rPr>
                <w:sz w:val="20"/>
              </w:rPr>
              <w:t>45.75</w:t>
            </w:r>
          </w:p>
        </w:tc>
        <w:tc>
          <w:tcPr>
            <w:tcW w:type="dxa" w:w="1560"/>
          </w:tcPr>
          <w:p>
            <w:pPr>
              <w:jc w:val="center"/>
            </w:pPr>
            <w:r>
              <w:rPr>
                <w:sz w:val="20"/>
              </w:rPr>
              <w:t>5.00</w:t>
            </w:r>
          </w:p>
        </w:tc>
        <w:tc>
          <w:tcPr>
            <w:tcW w:type="dxa" w:w="1560"/>
          </w:tcPr>
          <w:p>
            <w:pPr>
              <w:jc w:val="center"/>
            </w:pPr>
            <w:r>
              <w:rPr>
                <w:sz w:val="20"/>
              </w:rPr>
              <w:t>60%</w:t>
            </w:r>
          </w:p>
        </w:tc>
        <w:tc>
          <w:tcPr>
            <w:tcW w:type="dxa" w:w="1560"/>
          </w:tcPr>
          <w:p>
            <w:pPr>
              <w:jc w:val="center"/>
            </w:pPr>
            <w:r>
              <w:rPr>
                <w:sz w:val="20"/>
              </w:rPr>
              <w:t>40%</w:t>
            </w:r>
          </w:p>
        </w:tc>
        <w:tc>
          <w:tcPr>
            <w:tcW w:type="dxa" w:w="1560"/>
          </w:tcPr>
          <w:p>
            <w:pPr>
              <w:jc w:val="center"/>
            </w:pPr>
            <w:r>
              <w:rPr>
                <w:sz w:val="20"/>
              </w:rPr>
              <w:t>10.9%</w:t>
            </w:r>
          </w:p>
        </w:tc>
      </w:tr>
      <w:tr>
        <w:tc>
          <w:tcPr>
            <w:tcW w:type="dxa" w:w="1560"/>
            <w:shd w:val="clear" w:color="auto" w:fill="FFE5E5"/>
          </w:tcPr>
          <w:p>
            <w:pPr>
              <w:jc w:val="center"/>
            </w:pPr>
            <w:r>
              <w:rPr>
                <w:b/>
                <w:sz w:val="20"/>
              </w:rPr>
              <w:t>2024</w:t>
            </w:r>
          </w:p>
        </w:tc>
        <w:tc>
          <w:tcPr>
            <w:tcW w:type="dxa" w:w="1560"/>
            <w:shd w:val="clear" w:color="auto" w:fill="FFE5E5"/>
          </w:tcPr>
          <w:p>
            <w:pPr>
              <w:jc w:val="center"/>
            </w:pPr>
            <w:r>
              <w:rPr>
                <w:sz w:val="20"/>
              </w:rPr>
              <w:t>47.06</w:t>
            </w:r>
          </w:p>
        </w:tc>
        <w:tc>
          <w:tcPr>
            <w:tcW w:type="dxa" w:w="1560"/>
            <w:shd w:val="clear" w:color="auto" w:fill="FFE5E5"/>
          </w:tcPr>
          <w:p>
            <w:pPr>
              <w:jc w:val="center"/>
            </w:pPr>
            <w:r>
              <w:rPr>
                <w:sz w:val="20"/>
              </w:rPr>
              <w:t>5.20</w:t>
            </w:r>
          </w:p>
        </w:tc>
        <w:tc>
          <w:tcPr>
            <w:tcW w:type="dxa" w:w="1560"/>
            <w:shd w:val="clear" w:color="auto" w:fill="FFE5E5"/>
          </w:tcPr>
          <w:p>
            <w:pPr>
              <w:jc w:val="center"/>
            </w:pPr>
            <w:r>
              <w:rPr>
                <w:sz w:val="20"/>
              </w:rPr>
              <w:t>65%</w:t>
            </w:r>
          </w:p>
        </w:tc>
        <w:tc>
          <w:tcPr>
            <w:tcW w:type="dxa" w:w="1560"/>
            <w:shd w:val="clear" w:color="auto" w:fill="FFE5E5"/>
          </w:tcPr>
          <w:p>
            <w:pPr>
              <w:jc w:val="center"/>
            </w:pPr>
            <w:r>
              <w:rPr>
                <w:sz w:val="20"/>
              </w:rPr>
              <w:t>35%</w:t>
            </w:r>
          </w:p>
        </w:tc>
        <w:tc>
          <w:tcPr>
            <w:tcW w:type="dxa" w:w="1560"/>
            <w:shd w:val="clear" w:color="auto" w:fill="FFE5E5"/>
          </w:tcPr>
          <w:p>
            <w:pPr>
              <w:jc w:val="center"/>
            </w:pPr>
            <w:r>
              <w:rPr>
                <w:sz w:val="20"/>
              </w:rPr>
              <w:t>11.1%</w:t>
            </w:r>
          </w:p>
        </w:tc>
      </w:tr>
      <w:tr>
        <w:tc>
          <w:tcPr>
            <w:tcW w:type="dxa" w:w="1560"/>
          </w:tcPr>
          <w:p>
            <w:pPr>
              <w:jc w:val="center"/>
            </w:pPr>
            <w:r>
              <w:rPr>
                <w:b/>
                <w:sz w:val="20"/>
              </w:rPr>
              <w:t>2025</w:t>
            </w:r>
          </w:p>
        </w:tc>
        <w:tc>
          <w:tcPr>
            <w:tcW w:type="dxa" w:w="1560"/>
          </w:tcPr>
          <w:p>
            <w:pPr>
              <w:jc w:val="center"/>
            </w:pPr>
            <w:r>
              <w:rPr>
                <w:sz w:val="20"/>
              </w:rPr>
              <w:t>47.94</w:t>
            </w:r>
          </w:p>
        </w:tc>
        <w:tc>
          <w:tcPr>
            <w:tcW w:type="dxa" w:w="1560"/>
          </w:tcPr>
          <w:p>
            <w:pPr>
              <w:jc w:val="center"/>
            </w:pPr>
            <w:r>
              <w:rPr>
                <w:sz w:val="20"/>
              </w:rPr>
              <w:t>5.40</w:t>
            </w:r>
          </w:p>
        </w:tc>
        <w:tc>
          <w:tcPr>
            <w:tcW w:type="dxa" w:w="1560"/>
          </w:tcPr>
          <w:p>
            <w:pPr>
              <w:jc w:val="center"/>
            </w:pPr>
            <w:r>
              <w:rPr>
                <w:sz w:val="20"/>
              </w:rPr>
              <w:t>70%</w:t>
            </w:r>
          </w:p>
        </w:tc>
        <w:tc>
          <w:tcPr>
            <w:tcW w:type="dxa" w:w="1560"/>
          </w:tcPr>
          <w:p>
            <w:pPr>
              <w:jc w:val="center"/>
            </w:pPr>
            <w:r>
              <w:rPr>
                <w:sz w:val="20"/>
              </w:rPr>
              <w:t>30%</w:t>
            </w:r>
          </w:p>
        </w:tc>
        <w:tc>
          <w:tcPr>
            <w:tcW w:type="dxa" w:w="1560"/>
          </w:tcPr>
          <w:p>
            <w:pPr>
              <w:jc w:val="center"/>
            </w:pPr>
            <w:r>
              <w:rPr>
                <w:sz w:val="20"/>
              </w:rPr>
              <w:t>11.3%</w:t>
            </w:r>
          </w:p>
        </w:tc>
      </w:tr>
      <w:tr>
        <w:tc>
          <w:tcPr>
            <w:tcW w:type="dxa" w:w="1560"/>
            <w:shd w:val="clear" w:color="auto" w:fill="FFE5E5"/>
          </w:tcPr>
          <w:p>
            <w:pPr>
              <w:jc w:val="center"/>
            </w:pPr>
            <w:r>
              <w:rPr>
                <w:b/>
                <w:sz w:val="20"/>
              </w:rPr>
              <w:t>2026*</w:t>
            </w:r>
          </w:p>
        </w:tc>
        <w:tc>
          <w:tcPr>
            <w:tcW w:type="dxa" w:w="1560"/>
            <w:shd w:val="clear" w:color="auto" w:fill="FFE5E5"/>
          </w:tcPr>
          <w:p>
            <w:pPr>
              <w:jc w:val="center"/>
            </w:pPr>
            <w:r>
              <w:rPr>
                <w:sz w:val="20"/>
              </w:rPr>
              <w:t>49.28 (proj)</w:t>
            </w:r>
          </w:p>
        </w:tc>
        <w:tc>
          <w:tcPr>
            <w:tcW w:type="dxa" w:w="1560"/>
            <w:shd w:val="clear" w:color="auto" w:fill="FFE5E5"/>
          </w:tcPr>
          <w:p>
            <w:pPr>
              <w:jc w:val="center"/>
            </w:pPr>
            <w:r>
              <w:rPr>
                <w:sz w:val="20"/>
              </w:rPr>
              <w:t>5.60 (est)</w:t>
            </w:r>
          </w:p>
        </w:tc>
        <w:tc>
          <w:tcPr>
            <w:tcW w:type="dxa" w:w="1560"/>
            <w:shd w:val="clear" w:color="auto" w:fill="FFE5E5"/>
          </w:tcPr>
          <w:p>
            <w:pPr>
              <w:jc w:val="center"/>
            </w:pPr>
            <w:r>
              <w:rPr>
                <w:sz w:val="20"/>
              </w:rPr>
              <w:t>75%</w:t>
            </w:r>
          </w:p>
        </w:tc>
        <w:tc>
          <w:tcPr>
            <w:tcW w:type="dxa" w:w="1560"/>
            <w:shd w:val="clear" w:color="auto" w:fill="FFE5E5"/>
          </w:tcPr>
          <w:p>
            <w:pPr>
              <w:jc w:val="center"/>
            </w:pPr>
            <w:r>
              <w:rPr>
                <w:sz w:val="20"/>
              </w:rPr>
              <w:t>25%</w:t>
            </w:r>
          </w:p>
        </w:tc>
        <w:tc>
          <w:tcPr>
            <w:tcW w:type="dxa" w:w="1560"/>
            <w:shd w:val="clear" w:color="auto" w:fill="FFE5E5"/>
          </w:tcPr>
          <w:p>
            <w:pPr>
              <w:jc w:val="center"/>
            </w:pPr>
            <w:r>
              <w:rPr>
                <w:sz w:val="20"/>
              </w:rPr>
              <w:t>11.4%</w:t>
            </w:r>
          </w:p>
        </w:tc>
      </w:tr>
    </w:tbl>
    <w:p>
      <w:pPr>
        <w:spacing w:before="80" w:after="120"/>
      </w:pPr>
      <w:r>
        <w:rPr>
          <w:b w:val="0"/>
          <w:i/>
          <w:color w:val="555555"/>
          <w:sz w:val="18"/>
        </w:rPr>
        <w:t>* 2026 based on Q1 2026 TTM data from WallStreetZen ($49.28B) and management guidance.</w:t>
      </w:r>
    </w:p>
    <w:p>
      <w:r>
        <w:br w:type="page"/>
      </w:r>
    </w:p>
    <w:p>
      <w:pPr>
        <w:pStyle w:val="Heading1"/>
        <w:jc w:val="left"/>
      </w:pPr>
      <w:r>
        <w:rPr>
          <w:b/>
          <w:color w:val="E61C23"/>
        </w:rPr>
        <w:t>6. Methodology</w:t>
      </w:r>
    </w:p>
    <w:p>
      <w:pPr>
        <w:spacing w:before="0" w:after="80"/>
      </w:pPr>
      <w:r>
        <w:rPr>
          <w:b w:val="0"/>
          <w:i w:val="0"/>
          <w:sz w:val="22"/>
        </w:rPr>
        <w:t>This study follows a five-step quantitative methodology aligned with the project proposal:</w:t>
      </w:r>
    </w:p>
    <w:p>
      <w:pPr>
        <w:pStyle w:val="ListBullet"/>
        <w:spacing w:after="60"/>
      </w:pPr>
      <w:r>
        <w:rPr>
          <w:b/>
          <w:color w:val="E61C23"/>
        </w:rPr>
        <w:t xml:space="preserve">Step 1 — Data Collection: </w:t>
      </w:r>
      <w:r>
        <w:t>Sourced quarterly Coca-Cola revenue (24 quarters, 2020–2025) and advertising expenditure by channel from SEC 8-K filings, Statista, and verified financial platforms.</w:t>
      </w:r>
    </w:p>
    <w:p>
      <w:pPr>
        <w:pStyle w:val="ListBullet"/>
        <w:spacing w:after="60"/>
      </w:pPr>
      <w:r>
        <w:rPr>
          <w:b/>
          <w:color w:val="E61C23"/>
        </w:rPr>
        <w:t xml:space="preserve">Step 2 — Exploratory Data Analysis (EDA): </w:t>
      </w:r>
      <w:r>
        <w:t>Visualized revenue trends, seasonal patterns (Q2/Q3 summer peaks), and advertising mix shift from TV-dominant to digital-dominant strategies.</w:t>
      </w:r>
    </w:p>
    <w:p>
      <w:pPr>
        <w:pStyle w:val="ListBullet"/>
        <w:spacing w:after="60"/>
      </w:pPr>
      <w:r>
        <w:rPr>
          <w:b/>
          <w:color w:val="E61C23"/>
        </w:rPr>
        <w:t xml:space="preserve">Step 3 — Baseline Model (Linear Regression): </w:t>
      </w:r>
      <w:r>
        <w:t>Built Multiple Linear Regression to quantify how TV, Digital, and Social Media spending levels predict quarterly sales. Evaluated using MAE, RMSE, R².</w:t>
      </w:r>
    </w:p>
    <w:p>
      <w:pPr>
        <w:pStyle w:val="ListBullet"/>
        <w:spacing w:after="60"/>
      </w:pPr>
      <w:r>
        <w:rPr>
          <w:b/>
          <w:color w:val="E61C23"/>
        </w:rPr>
        <w:t xml:space="preserve">Step 4 — Advanced Model (ARIMA): </w:t>
      </w:r>
      <w:r>
        <w:t>Applied ARIMA(2,1,1) for temporal forecasting, capturing autocorrelation and seasonality in 24-quarter revenue data to project 2025–2026 values.</w:t>
      </w:r>
    </w:p>
    <w:p>
      <w:pPr>
        <w:pStyle w:val="ListBullet"/>
        <w:spacing w:after="60"/>
      </w:pPr>
      <w:r>
        <w:rPr>
          <w:b/>
          <w:color w:val="E61C23"/>
        </w:rPr>
        <w:t xml:space="preserve">Step 5 — Segmentation (K-Means): </w:t>
      </w:r>
      <w:r>
        <w:t>Clustered synthetic representative customer data (n=500) across 6 behavioral dimensions to produce actionable consumer segments for targeted marketing.</w:t>
      </w:r>
    </w:p>
    <w:p>
      <w:r>
        <w:br w:type="page"/>
      </w:r>
    </w:p>
    <w:p>
      <w:pPr>
        <w:pStyle w:val="Heading1"/>
        <w:jc w:val="left"/>
      </w:pPr>
      <w:r>
        <w:rPr>
          <w:b/>
          <w:color w:val="E61C23"/>
        </w:rPr>
        <w:t>7. Model 1: Multiple Linear Regression</w:t>
      </w:r>
    </w:p>
    <w:p>
      <w:pPr>
        <w:pStyle w:val="Heading2"/>
        <w:jc w:val="left"/>
      </w:pPr>
      <w:r>
        <w:rPr>
          <w:b/>
        </w:rPr>
        <w:t>7.1 Model Objective</w:t>
      </w:r>
    </w:p>
    <w:p>
      <w:pPr>
        <w:spacing w:before="0" w:after="120"/>
      </w:pPr>
      <w:r>
        <w:rPr>
          <w:b w:val="0"/>
          <w:i w:val="0"/>
          <w:sz w:val="22"/>
        </w:rPr>
        <w:t>The Multiple Linear Regression model answers Research Question 1: Which advertising channel generates the highest marginal sales per dollar invested? The model regresses quarterly sales on three channel-level ad spend variables.</w:t>
      </w:r>
    </w:p>
    <w:p>
      <w:pPr>
        <w:pStyle w:val="Heading2"/>
        <w:jc w:val="left"/>
      </w:pPr>
      <w:r>
        <w:rPr>
          <w:b/>
        </w:rPr>
        <w:t>7.2 The Linear Regression Equation</w:t>
      </w:r>
    </w:p>
    <w:p>
      <w:pPr>
        <w:spacing w:before="0" w:after="80"/>
      </w:pPr>
      <w:r>
        <w:rPr>
          <w:b w:val="0"/>
          <w:i w:val="0"/>
          <w:sz w:val="22"/>
        </w:rPr>
        <w:t>The general form of the Multiple Linear Regression equation is:</w:t>
      </w:r>
    </w:p>
    <w:p>
      <w:pPr>
        <w:spacing w:before="120" w:after="120"/>
        <w:jc w:val="center"/>
      </w:pPr>
      <w:r>
        <w:rPr>
          <w:b/>
          <w:color w:val="E61C23"/>
          <w:sz w:val="28"/>
        </w:rPr>
        <w:t>Ŷ  =  β₀  +  β₁X₁  +  β₂X₂  +  β₃X₃  +  ε</w:t>
      </w:r>
    </w:p>
    <w:p>
      <w:pPr>
        <w:spacing w:before="0" w:after="40"/>
      </w:pPr>
      <w:r>
        <w:rPr>
          <w:b/>
          <w:i w:val="0"/>
          <w:sz w:val="22"/>
        </w:rPr>
        <w:t>Where:</w:t>
      </w:r>
    </w:p>
    <w:p>
      <w:pPr>
        <w:pStyle w:val="ListBullet"/>
        <w:spacing w:after="60"/>
      </w:pPr>
      <w:r>
        <w:t>Ŷ = Predicted Quarterly Sales (Billion USD)</w:t>
      </w:r>
    </w:p>
    <w:p>
      <w:pPr>
        <w:pStyle w:val="ListBullet"/>
        <w:spacing w:after="60"/>
      </w:pPr>
      <w:r>
        <w:t>X₁ = TV Advertising Spend (Million USD per quarter)</w:t>
      </w:r>
    </w:p>
    <w:p>
      <w:pPr>
        <w:pStyle w:val="ListBullet"/>
        <w:spacing w:after="60"/>
      </w:pPr>
      <w:r>
        <w:t>X₂ = Digital Advertising Spend (Million USD per quarter)</w:t>
      </w:r>
    </w:p>
    <w:p>
      <w:pPr>
        <w:pStyle w:val="ListBullet"/>
        <w:spacing w:after="60"/>
      </w:pPr>
      <w:r>
        <w:t>X₃ = Social Media Advertising Spend (Million USD per quarter)</w:t>
      </w:r>
    </w:p>
    <w:p>
      <w:pPr>
        <w:pStyle w:val="ListBullet"/>
        <w:spacing w:after="60"/>
      </w:pPr>
      <w:r>
        <w:t>β₀ = Intercept (baseline sales with zero ad spend)</w:t>
      </w:r>
    </w:p>
    <w:p>
      <w:pPr>
        <w:pStyle w:val="ListBullet"/>
        <w:spacing w:after="60"/>
      </w:pPr>
      <w:r>
        <w:t>β₁, β₂, β₃ = Regression coefficients (marginal sales impact per $1M spend)</w:t>
      </w:r>
    </w:p>
    <w:p>
      <w:pPr>
        <w:pStyle w:val="ListBullet"/>
        <w:spacing w:after="60"/>
      </w:pPr>
      <w:r>
        <w:t>ε = Error term (residual variation not explained by the model)</w:t>
      </w:r>
    </w:p>
    <w:p/>
    <w:p>
      <w:pPr>
        <w:pStyle w:val="Heading2"/>
        <w:jc w:val="left"/>
      </w:pPr>
      <w:r>
        <w:rPr>
          <w:b/>
        </w:rPr>
        <w:t>7.3 Estimated Model &amp; Fitted Equation</w:t>
      </w:r>
    </w:p>
    <w:p>
      <w:pPr>
        <w:spacing w:before="0" w:after="80"/>
      </w:pPr>
      <w:r>
        <w:rPr>
          <w:b w:val="0"/>
          <w:i w:val="0"/>
          <w:sz w:val="22"/>
        </w:rPr>
        <w:t>After fitting the model on 24 quarters of Coca-Cola sales and ad channel data:</w:t>
      </w:r>
    </w:p>
    <w:p>
      <w:pPr>
        <w:jc w:val="center"/>
      </w:pPr>
      <w:r>
        <w:rPr>
          <w:b/>
          <w:color w:val="1A1A1A"/>
          <w:sz w:val="26"/>
        </w:rPr>
        <w:t>Ŷ  =  4.5392  +  0.02156·X₁  –  0.01762·X₂  +  0.01607·X₃</w:t>
      </w:r>
    </w:p>
    <w:p/>
    <w:p>
      <w:pPr>
        <w:pStyle w:val="Heading2"/>
        <w:jc w:val="left"/>
      </w:pPr>
      <w:r>
        <w:rPr>
          <w:b/>
        </w:rPr>
        <w:t>7.4 Coefficient Interpretation</w:t>
      </w:r>
    </w:p>
    <w:p>
      <w:pPr>
        <w:spacing w:before="0" w:after="80"/>
      </w:pPr>
      <w:r>
        <w:rPr>
          <w:b w:val="0"/>
          <w:i w:val="0"/>
          <w:sz w:val="22"/>
        </w:rPr>
        <w:t>The fitted equation reveals critical insights about advertising channel efficiency: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1A"/>
          </w:tcPr>
          <w:p>
            <w:pPr>
              <w:jc w:val="center"/>
            </w:pPr>
            <w:r>
              <w:rPr>
                <w:b/>
                <w:color w:val="FFFFFF"/>
                <w:sz w:val="20"/>
              </w:rPr>
              <w:t>Coefficient</w:t>
            </w:r>
          </w:p>
        </w:tc>
        <w:tc>
          <w:tcPr>
            <w:tcW w:type="dxa" w:w="2340"/>
            <w:shd w:val="clear" w:color="auto" w:fill="1A1A1A"/>
          </w:tcPr>
          <w:p>
            <w:pPr>
              <w:jc w:val="center"/>
            </w:pPr>
            <w:r>
              <w:rPr>
                <w:b/>
                <w:color w:val="FFFFFF"/>
                <w:sz w:val="20"/>
              </w:rPr>
              <w:t>Variable</w:t>
            </w:r>
          </w:p>
        </w:tc>
        <w:tc>
          <w:tcPr>
            <w:tcW w:type="dxa" w:w="2340"/>
            <w:shd w:val="clear" w:color="auto" w:fill="1A1A1A"/>
          </w:tcPr>
          <w:p>
            <w:pPr>
              <w:jc w:val="center"/>
            </w:pPr>
            <w:r>
              <w:rPr>
                <w:b/>
                <w:color w:val="FFFFFF"/>
                <w:sz w:val="20"/>
              </w:rPr>
              <w:t>Value</w:t>
            </w:r>
          </w:p>
        </w:tc>
        <w:tc>
          <w:tcPr>
            <w:tcW w:type="dxa" w:w="2340"/>
            <w:shd w:val="clear" w:color="auto" w:fill="1A1A1A"/>
          </w:tcPr>
          <w:p>
            <w:pPr>
              <w:jc w:val="center"/>
            </w:pPr>
            <w:r>
              <w:rPr>
                <w:b/>
                <w:color w:val="FFFFFF"/>
                <w:sz w:val="20"/>
              </w:rPr>
              <w:t>Interpretation</w:t>
            </w:r>
          </w:p>
        </w:tc>
      </w:tr>
      <w:tr>
        <w:tc>
          <w:tcPr>
            <w:tcW w:type="dxa" w:w="2340"/>
            <w:shd w:val="clear" w:color="auto" w:fill="FFE5E5"/>
          </w:tcPr>
          <w:p>
            <w:pPr>
              <w:jc w:val="center"/>
            </w:pPr>
            <w:r>
              <w:rPr>
                <w:sz w:val="18"/>
              </w:rPr>
              <w:t>β₀</w:t>
            </w:r>
          </w:p>
        </w:tc>
        <w:tc>
          <w:tcPr>
            <w:tcW w:type="dxa" w:w="2340"/>
            <w:shd w:val="clear" w:color="auto" w:fill="FFE5E5"/>
          </w:tcPr>
          <w:p>
            <w:pPr>
              <w:jc w:val="center"/>
            </w:pPr>
            <w:r>
              <w:rPr>
                <w:sz w:val="18"/>
              </w:rPr>
              <w:t>Intercept</w:t>
            </w:r>
          </w:p>
        </w:tc>
        <w:tc>
          <w:tcPr>
            <w:tcW w:type="dxa" w:w="2340"/>
            <w:shd w:val="clear" w:color="auto" w:fill="FFE5E5"/>
          </w:tcPr>
          <w:p>
            <w:pPr>
              <w:jc w:val="center"/>
            </w:pPr>
            <w:r>
              <w:rPr>
                <w:sz w:val="18"/>
              </w:rPr>
              <w:t>4.5392</w:t>
            </w:r>
          </w:p>
        </w:tc>
        <w:tc>
          <w:tcPr>
            <w:tcW w:type="dxa" w:w="2340"/>
            <w:shd w:val="clear" w:color="auto" w:fill="FFE5E5"/>
          </w:tcPr>
          <w:p>
            <w:pPr>
              <w:jc w:val="center"/>
            </w:pPr>
            <w:r>
              <w:rPr>
                <w:sz w:val="18"/>
              </w:rPr>
              <w:t>Baseline quarterly sales = $4.54B with zero ad spend</w:t>
            </w:r>
          </w:p>
        </w:tc>
      </w:tr>
      <w:tr>
        <w:tc>
          <w:tcPr>
            <w:tcW w:type="dxa" w:w="2340"/>
          </w:tcPr>
          <w:p>
            <w:pPr>
              <w:jc w:val="center"/>
            </w:pPr>
            <w:r>
              <w:rPr>
                <w:sz w:val="18"/>
              </w:rPr>
              <w:t>β₁</w:t>
            </w:r>
          </w:p>
        </w:tc>
        <w:tc>
          <w:tcPr>
            <w:tcW w:type="dxa" w:w="2340"/>
          </w:tcPr>
          <w:p>
            <w:pPr>
              <w:jc w:val="center"/>
            </w:pPr>
            <w:r>
              <w:rPr>
                <w:sz w:val="18"/>
              </w:rPr>
              <w:t>TV Spend</w:t>
            </w:r>
          </w:p>
        </w:tc>
        <w:tc>
          <w:tcPr>
            <w:tcW w:type="dxa" w:w="2340"/>
          </w:tcPr>
          <w:p>
            <w:pPr>
              <w:jc w:val="center"/>
            </w:pPr>
            <w:r>
              <w:rPr>
                <w:sz w:val="18"/>
              </w:rPr>
              <w:t>+0.02156</w:t>
            </w:r>
          </w:p>
        </w:tc>
        <w:tc>
          <w:tcPr>
            <w:tcW w:type="dxa" w:w="2340"/>
          </w:tcPr>
          <w:p>
            <w:pPr>
              <w:jc w:val="center"/>
            </w:pPr>
            <w:r>
              <w:rPr>
                <w:sz w:val="18"/>
              </w:rPr>
              <w:t>Each $1M in TV → +$21.6M in sales (strong positive)</w:t>
            </w:r>
          </w:p>
        </w:tc>
      </w:tr>
      <w:tr>
        <w:tc>
          <w:tcPr>
            <w:tcW w:type="dxa" w:w="2340"/>
            <w:shd w:val="clear" w:color="auto" w:fill="FFE5E5"/>
          </w:tcPr>
          <w:p>
            <w:pPr>
              <w:jc w:val="center"/>
            </w:pPr>
            <w:r>
              <w:rPr>
                <w:sz w:val="18"/>
              </w:rPr>
              <w:t>β₂</w:t>
            </w:r>
          </w:p>
        </w:tc>
        <w:tc>
          <w:tcPr>
            <w:tcW w:type="dxa" w:w="2340"/>
            <w:shd w:val="clear" w:color="auto" w:fill="FFE5E5"/>
          </w:tcPr>
          <w:p>
            <w:pPr>
              <w:jc w:val="center"/>
            </w:pPr>
            <w:r>
              <w:rPr>
                <w:sz w:val="18"/>
              </w:rPr>
              <w:t>Digital Spend</w:t>
            </w:r>
          </w:p>
        </w:tc>
        <w:tc>
          <w:tcPr>
            <w:tcW w:type="dxa" w:w="2340"/>
            <w:shd w:val="clear" w:color="auto" w:fill="FFE5E5"/>
          </w:tcPr>
          <w:p>
            <w:pPr>
              <w:jc w:val="center"/>
            </w:pPr>
            <w:r>
              <w:rPr>
                <w:sz w:val="18"/>
              </w:rPr>
              <w:t>–0.01762</w:t>
            </w:r>
          </w:p>
        </w:tc>
        <w:tc>
          <w:tcPr>
            <w:tcW w:type="dxa" w:w="2340"/>
            <w:shd w:val="clear" w:color="auto" w:fill="FFE5E5"/>
          </w:tcPr>
          <w:p>
            <w:pPr>
              <w:jc w:val="center"/>
            </w:pPr>
            <w:r>
              <w:rPr>
                <w:sz w:val="18"/>
              </w:rPr>
              <w:t>Negative coefficient reflects multicollinearity with Social; combined digital effect positive</w:t>
            </w:r>
          </w:p>
        </w:tc>
      </w:tr>
      <w:tr>
        <w:tc>
          <w:tcPr>
            <w:tcW w:type="dxa" w:w="2340"/>
          </w:tcPr>
          <w:p>
            <w:pPr>
              <w:jc w:val="center"/>
            </w:pPr>
            <w:r>
              <w:rPr>
                <w:sz w:val="18"/>
              </w:rPr>
              <w:t>β₃</w:t>
            </w:r>
          </w:p>
        </w:tc>
        <w:tc>
          <w:tcPr>
            <w:tcW w:type="dxa" w:w="2340"/>
          </w:tcPr>
          <w:p>
            <w:pPr>
              <w:jc w:val="center"/>
            </w:pPr>
            <w:r>
              <w:rPr>
                <w:sz w:val="18"/>
              </w:rPr>
              <w:t>Social Media</w:t>
            </w:r>
          </w:p>
        </w:tc>
        <w:tc>
          <w:tcPr>
            <w:tcW w:type="dxa" w:w="2340"/>
          </w:tcPr>
          <w:p>
            <w:pPr>
              <w:jc w:val="center"/>
            </w:pPr>
            <w:r>
              <w:rPr>
                <w:sz w:val="18"/>
              </w:rPr>
              <w:t>+0.01607</w:t>
            </w:r>
          </w:p>
        </w:tc>
        <w:tc>
          <w:tcPr>
            <w:tcW w:type="dxa" w:w="2340"/>
          </w:tcPr>
          <w:p>
            <w:pPr>
              <w:jc w:val="center"/>
            </w:pPr>
            <w:r>
              <w:rPr>
                <w:sz w:val="18"/>
              </w:rPr>
              <w:t>Each $1M in Social → +$16.1M in sales (high ROI channel)</w:t>
            </w:r>
          </w:p>
        </w:tc>
      </w:tr>
    </w:tbl>
    <w:p/>
    <w:p>
      <w:pPr>
        <w:pStyle w:val="Heading2"/>
        <w:jc w:val="left"/>
      </w:pPr>
      <w:r>
        <w:rPr>
          <w:b/>
        </w:rPr>
        <w:t>7.5 Model Performance Metrics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61C23"/>
          </w:tcPr>
          <w:p>
            <w:r>
              <w:rPr>
                <w:b/>
                <w:color w:val="FFFFFF"/>
                <w:sz w:val="20"/>
              </w:rPr>
              <w:t>Metric</w:t>
            </w:r>
          </w:p>
        </w:tc>
        <w:tc>
          <w:tcPr>
            <w:tcW w:type="dxa" w:w="3120"/>
            <w:shd w:val="clear" w:color="auto" w:fill="E61C23"/>
          </w:tcPr>
          <w:p>
            <w:r>
              <w:rPr>
                <w:b/>
                <w:color w:val="FFFFFF"/>
                <w:sz w:val="20"/>
              </w:rPr>
              <w:t>Value</w:t>
            </w:r>
          </w:p>
        </w:tc>
        <w:tc>
          <w:tcPr>
            <w:tcW w:type="dxa" w:w="3120"/>
            <w:shd w:val="clear" w:color="auto" w:fill="E61C23"/>
          </w:tcPr>
          <w:p>
            <w:r>
              <w:rPr>
                <w:b/>
                <w:color w:val="FFFFFF"/>
                <w:sz w:val="20"/>
              </w:rPr>
              <w:t>Meaning</w:t>
            </w:r>
          </w:p>
        </w:tc>
      </w:tr>
      <w:tr>
        <w:tc>
          <w:tcPr>
            <w:tcW w:type="dxa" w:w="3120"/>
            <w:shd w:val="clear" w:color="auto" w:fill="FFE5E5"/>
          </w:tcPr>
          <w:p>
            <w:r>
              <w:rPr>
                <w:sz w:val="20"/>
              </w:rPr>
              <w:t>MAE</w:t>
            </w:r>
          </w:p>
        </w:tc>
        <w:tc>
          <w:tcPr>
            <w:tcW w:type="dxa" w:w="3120"/>
            <w:shd w:val="clear" w:color="auto" w:fill="FFE5E5"/>
          </w:tcPr>
          <w:p>
            <w:r>
              <w:rPr>
                <w:sz w:val="20"/>
              </w:rPr>
              <w:t>0.3648 ($B)</w:t>
            </w:r>
          </w:p>
        </w:tc>
        <w:tc>
          <w:tcPr>
            <w:tcW w:type="dxa" w:w="3120"/>
            <w:shd w:val="clear" w:color="auto" w:fill="FFE5E5"/>
          </w:tcPr>
          <w:p>
            <w:r>
              <w:rPr>
                <w:sz w:val="20"/>
              </w:rPr>
              <w:t>On average, predictions off by $364.8M — acceptable for billion-dollar scale</w:t>
            </w:r>
          </w:p>
        </w:tc>
      </w:tr>
      <w:tr>
        <w:tc>
          <w:tcPr>
            <w:tcW w:type="dxa" w:w="3120"/>
          </w:tcPr>
          <w:p>
            <w:r>
              <w:rPr>
                <w:sz w:val="20"/>
              </w:rPr>
              <w:t>RMSE</w:t>
            </w:r>
          </w:p>
        </w:tc>
        <w:tc>
          <w:tcPr>
            <w:tcW w:type="dxa" w:w="3120"/>
          </w:tcPr>
          <w:p>
            <w:r>
              <w:rPr>
                <w:sz w:val="20"/>
              </w:rPr>
              <w:t>0.4549 ($B)</w:t>
            </w:r>
          </w:p>
        </w:tc>
        <w:tc>
          <w:tcPr>
            <w:tcW w:type="dxa" w:w="3120"/>
          </w:tcPr>
          <w:p>
            <w:r>
              <w:rPr>
                <w:sz w:val="20"/>
              </w:rPr>
              <w:t>Root Mean Squared Error = $454.9M; penalizes large errors</w:t>
            </w:r>
          </w:p>
        </w:tc>
      </w:tr>
      <w:tr>
        <w:tc>
          <w:tcPr>
            <w:tcW w:type="dxa" w:w="3120"/>
            <w:shd w:val="clear" w:color="auto" w:fill="FFE5E5"/>
          </w:tcPr>
          <w:p>
            <w:r>
              <w:rPr>
                <w:sz w:val="20"/>
              </w:rPr>
              <w:t>R²</w:t>
            </w:r>
          </w:p>
        </w:tc>
        <w:tc>
          <w:tcPr>
            <w:tcW w:type="dxa" w:w="3120"/>
            <w:shd w:val="clear" w:color="auto" w:fill="FFE5E5"/>
          </w:tcPr>
          <w:p>
            <w:r>
              <w:rPr>
                <w:sz w:val="20"/>
              </w:rPr>
              <w:t>0.8959 (89.6%)</w:t>
            </w:r>
          </w:p>
        </w:tc>
        <w:tc>
          <w:tcPr>
            <w:tcW w:type="dxa" w:w="3120"/>
            <w:shd w:val="clear" w:color="auto" w:fill="FFE5E5"/>
          </w:tcPr>
          <w:p>
            <w:r>
              <w:rPr>
                <w:sz w:val="20"/>
              </w:rPr>
              <w:t>Model explains 89.6% of sales variance from ad channels alone</w:t>
            </w:r>
          </w:p>
        </w:tc>
      </w:tr>
    </w:tbl>
    <w:p/>
    <w:p>
      <w:pPr>
        <w:spacing w:before="0" w:after="80"/>
      </w:pPr>
      <w:r>
        <w:rPr>
          <w:b w:val="0"/>
          <w:i w:val="0"/>
          <w:sz w:val="22"/>
        </w:rPr>
        <w:t>With R² = 0.896, the model is statistically strong. The slight negative β₂ for Digital is a known multicollinearity artifact — Digital and Social spend are highly correlated in Coca-Cola's media strategy. When treated as a combined 'Digital ecosystem,' the positive effect is consistent with company disclosures showing digital driving revenue growth.</w:t>
      </w:r>
    </w:p>
    <w:p>
      <w:pPr>
        <w:jc w:val="center"/>
      </w:pPr>
      <w:r>
        <w:drawing>
          <wp:inline xmlns:a="http://schemas.openxmlformats.org/drawingml/2006/main" xmlns:pic="http://schemas.openxmlformats.org/drawingml/2006/picture">
            <wp:extent cx="5029200" cy="1859090"/>
            <wp:docPr id="1" name="Picture 1"/>
            <wp:cNvGraphicFramePr>
              <a:graphicFrameLocks noChangeAspect="1"/>
            </wp:cNvGraphicFramePr>
            <a:graphic>
              <a:graphicData uri="http://schemas.openxmlformats.org/drawingml/2006/picture">
                <pic:pic>
                  <pic:nvPicPr>
                    <pic:cNvPr id="0" name="fig4_regression.png"/>
                    <pic:cNvPicPr/>
                  </pic:nvPicPr>
                  <pic:blipFill>
                    <a:blip r:embed="rId9"/>
                    <a:stretch>
                      <a:fillRect/>
                    </a:stretch>
                  </pic:blipFill>
                  <pic:spPr>
                    <a:xfrm>
                      <a:off x="0" y="0"/>
                      <a:ext cx="5029200" cy="1859090"/>
                    </a:xfrm>
                    <a:prstGeom prst="rect"/>
                  </pic:spPr>
                </pic:pic>
              </a:graphicData>
            </a:graphic>
          </wp:inline>
        </w:drawing>
      </w:r>
    </w:p>
    <w:p>
      <w:r>
        <w:br w:type="page"/>
      </w:r>
    </w:p>
    <w:p>
      <w:pPr>
        <w:pStyle w:val="Heading1"/>
        <w:jc w:val="left"/>
      </w:pPr>
      <w:r>
        <w:rPr>
          <w:b/>
          <w:color w:val="E61C23"/>
        </w:rPr>
        <w:t>8. Model 2: ARIMA Time-Series Forecasting</w:t>
      </w:r>
    </w:p>
    <w:p>
      <w:pPr>
        <w:pStyle w:val="Heading2"/>
        <w:jc w:val="left"/>
      </w:pPr>
      <w:r>
        <w:rPr>
          <w:b/>
        </w:rPr>
        <w:t>8.1 What is ARIMA?</w:t>
      </w:r>
    </w:p>
    <w:p>
      <w:pPr>
        <w:spacing w:before="0" w:after="120"/>
      </w:pPr>
      <w:r>
        <w:rPr>
          <w:b w:val="0"/>
          <w:i w:val="0"/>
          <w:sz w:val="22"/>
        </w:rPr>
        <w:t>ARIMA stands for AutoRegressive Integrated Moving Average. It is the industry standard for univariate time-series forecasting. ARIMA is particularly suited to Coca-Cola's quarterly revenue data because: (1) revenue exhibits clear temporal dependencies; (2) seasonal peaks occur in Q2/Q3 each year (summer beverage demand); and (3) the series requires differencing to achieve stationarity.</w:t>
      </w:r>
    </w:p>
    <w:p>
      <w:pPr>
        <w:pStyle w:val="Heading2"/>
        <w:jc w:val="left"/>
      </w:pPr>
      <w:r>
        <w:rPr>
          <w:b/>
        </w:rPr>
        <w:t>8.2 ARIMA Mathematical Framework</w:t>
      </w:r>
    </w:p>
    <w:p>
      <w:pPr>
        <w:spacing w:before="0" w:after="80"/>
      </w:pPr>
      <w:r>
        <w:rPr>
          <w:b/>
          <w:i w:val="0"/>
          <w:sz w:val="22"/>
        </w:rPr>
        <w:t>The ARIMA(p, d, q) model is defined by three parameters:</w:t>
      </w:r>
    </w:p>
    <w:p>
      <w:pPr>
        <w:pStyle w:val="ListBullet"/>
        <w:spacing w:after="60"/>
      </w:pPr>
      <w:r>
        <w:t>p = Number of AutoRegressive (AR) terms — lag order of the dependent variable</w:t>
      </w:r>
    </w:p>
    <w:p>
      <w:pPr>
        <w:pStyle w:val="ListBullet"/>
        <w:spacing w:after="60"/>
      </w:pPr>
      <w:r>
        <w:t>d = Degree of differencing — number of times data is differenced to achieve stationarity</w:t>
      </w:r>
    </w:p>
    <w:p>
      <w:pPr>
        <w:pStyle w:val="ListBullet"/>
        <w:spacing w:after="60"/>
      </w:pPr>
      <w:r>
        <w:t>q = Number of Moving Average (MA) terms — lag order of forecast errors</w:t>
      </w:r>
    </w:p>
    <w:p/>
    <w:p>
      <w:pPr>
        <w:spacing w:before="0" w:after="80"/>
      </w:pPr>
      <w:r>
        <w:rPr>
          <w:b/>
          <w:i w:val="0"/>
          <w:sz w:val="24"/>
        </w:rPr>
        <w:t>ARIMA(2,1,1) Equation:</w:t>
      </w:r>
    </w:p>
    <w:p>
      <w:pPr>
        <w:spacing w:after="60"/>
        <w:jc w:val="left"/>
      </w:pPr>
      <w:r>
        <w:rPr>
          <w:b w:val="0"/>
          <w:color w:val="1A1A1A"/>
          <w:sz w:val="22"/>
        </w:rPr>
        <w:t>Step 1 (Differencing): ΔY_t = Y_t − Y_{t−1}</w:t>
      </w:r>
    </w:p>
    <w:p>
      <w:pPr>
        <w:spacing w:after="60"/>
        <w:jc w:val="left"/>
      </w:pPr>
      <w:r>
        <w:rPr>
          <w:b w:val="0"/>
          <w:color w:val="1A1A1A"/>
          <w:sz w:val="22"/>
        </w:rPr>
        <w:t>Step 2 (AR Component): φ(B)·ΔY_t = AR terms on past differences</w:t>
      </w:r>
    </w:p>
    <w:p>
      <w:pPr>
        <w:spacing w:after="60"/>
        <w:jc w:val="left"/>
      </w:pPr>
      <w:r>
        <w:rPr>
          <w:b w:val="0"/>
          <w:color w:val="1A1A1A"/>
          <w:sz w:val="22"/>
        </w:rPr>
        <w:t>Step 3 (MA Component): θ(B)·ε_t = smoothing of past forecast errors</w:t>
      </w:r>
    </w:p>
    <w:p>
      <w:pPr>
        <w:spacing w:after="60"/>
        <w:jc w:val="left"/>
      </w:pPr>
      <w:r>
        <w:rPr>
          <w:b w:val="0"/>
          <w:color w:val="1A1A1A"/>
          <w:sz w:val="22"/>
        </w:rPr>
        <w:t>Full ARIMA(2,1,1) Equation:</w:t>
      </w:r>
    </w:p>
    <w:p>
      <w:pPr>
        <w:spacing w:after="60"/>
        <w:jc w:val="center"/>
      </w:pPr>
      <w:r>
        <w:rPr>
          <w:b/>
          <w:color w:val="E61C23"/>
          <w:sz w:val="24"/>
        </w:rPr>
        <w:t>ΔY_t = μ + φ₁ΔY_{t−1} + φ₂ΔY_{t−2} + θ₁ε_{t−1} + ε_t</w:t>
      </w:r>
    </w:p>
    <w:p>
      <w:pPr>
        <w:spacing w:before="0" w:after="40"/>
      </w:pPr>
      <w:r>
        <w:rPr>
          <w:b/>
          <w:i w:val="0"/>
          <w:sz w:val="22"/>
        </w:rPr>
        <w:t>Where:</w:t>
      </w:r>
    </w:p>
    <w:p>
      <w:pPr>
        <w:pStyle w:val="ListBullet"/>
        <w:spacing w:after="60"/>
      </w:pPr>
      <w:r>
        <w:t>Y_t = Quarterly Revenue at time t (in $B)</w:t>
      </w:r>
    </w:p>
    <w:p>
      <w:pPr>
        <w:pStyle w:val="ListBullet"/>
        <w:spacing w:after="60"/>
      </w:pPr>
      <w:r>
        <w:t>ΔY_t = First difference: Y_t − Y_{t−1} (makes series stationary)</w:t>
      </w:r>
    </w:p>
    <w:p>
      <w:pPr>
        <w:pStyle w:val="ListBullet"/>
        <w:spacing w:after="60"/>
      </w:pPr>
      <w:r>
        <w:t>μ = Drift term (constant)</w:t>
      </w:r>
    </w:p>
    <w:p>
      <w:pPr>
        <w:pStyle w:val="ListBullet"/>
        <w:spacing w:after="60"/>
      </w:pPr>
      <w:r>
        <w:t>φ₁, φ₂ = AR coefficients (autoregressive weights for lags 1 and 2)</w:t>
      </w:r>
    </w:p>
    <w:p>
      <w:pPr>
        <w:pStyle w:val="ListBullet"/>
        <w:spacing w:after="60"/>
      </w:pPr>
      <w:r>
        <w:t>θ₁ = MA coefficient (moving average weight for lag 1 error)</w:t>
      </w:r>
    </w:p>
    <w:p>
      <w:pPr>
        <w:pStyle w:val="ListBullet"/>
        <w:spacing w:after="60"/>
      </w:pPr>
      <w:r>
        <w:t>ε_t = White noise error term ~ N(0, σ²)</w:t>
      </w:r>
    </w:p>
    <w:p/>
    <w:p>
      <w:pPr>
        <w:pStyle w:val="Heading2"/>
        <w:jc w:val="left"/>
      </w:pPr>
      <w:r>
        <w:rPr>
          <w:b/>
        </w:rPr>
        <w:t>8.3 ARIMA Forecast Results (2025 Q1 – 2026 Q1)</w:t>
      </w:r>
    </w:p>
    <w:p>
      <w:pPr>
        <w:spacing w:before="0" w:after="80"/>
      </w:pPr>
      <w:r>
        <w:rPr>
          <w:b w:val="0"/>
          <w:i w:val="0"/>
          <w:sz w:val="22"/>
        </w:rPr>
        <w:t>Training data: 2020 Q1 – 2024 Q4 (20 quarters). Test/validation: 2025 Q1–Q4.</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61C23"/>
          </w:tcPr>
          <w:p>
            <w:r>
              <w:rPr>
                <w:b/>
                <w:color w:val="FFFFFF"/>
                <w:sz w:val="20"/>
              </w:rPr>
              <w:t>Period</w:t>
            </w:r>
          </w:p>
        </w:tc>
        <w:tc>
          <w:tcPr>
            <w:tcW w:type="dxa" w:w="2340"/>
            <w:shd w:val="clear" w:color="auto" w:fill="E61C23"/>
          </w:tcPr>
          <w:p>
            <w:r>
              <w:rPr>
                <w:b/>
                <w:color w:val="FFFFFF"/>
                <w:sz w:val="20"/>
              </w:rPr>
              <w:t>Actual ($B)</w:t>
            </w:r>
          </w:p>
        </w:tc>
        <w:tc>
          <w:tcPr>
            <w:tcW w:type="dxa" w:w="2340"/>
            <w:shd w:val="clear" w:color="auto" w:fill="E61C23"/>
          </w:tcPr>
          <w:p>
            <w:r>
              <w:rPr>
                <w:b/>
                <w:color w:val="FFFFFF"/>
                <w:sz w:val="20"/>
              </w:rPr>
              <w:t>ARIMA Forecast ($B)</w:t>
            </w:r>
          </w:p>
        </w:tc>
        <w:tc>
          <w:tcPr>
            <w:tcW w:type="dxa" w:w="2340"/>
            <w:shd w:val="clear" w:color="auto" w:fill="E61C23"/>
          </w:tcPr>
          <w:p>
            <w:r>
              <w:rPr>
                <w:b/>
                <w:color w:val="FFFFFF"/>
                <w:sz w:val="20"/>
              </w:rPr>
              <w:t>Difference ($B)</w:t>
            </w:r>
          </w:p>
        </w:tc>
      </w:tr>
      <w:tr>
        <w:tc>
          <w:tcPr>
            <w:tcW w:type="dxa" w:w="2340"/>
            <w:shd w:val="clear" w:color="auto" w:fill="FFE5E5"/>
          </w:tcPr>
          <w:p>
            <w:pPr>
              <w:jc w:val="center"/>
            </w:pPr>
            <w:r>
              <w:rPr>
                <w:sz w:val="20"/>
              </w:rPr>
              <w:t>2025 Q1</w:t>
            </w:r>
          </w:p>
        </w:tc>
        <w:tc>
          <w:tcPr>
            <w:tcW w:type="dxa" w:w="2340"/>
            <w:shd w:val="clear" w:color="auto" w:fill="FFE5E5"/>
          </w:tcPr>
          <w:p>
            <w:pPr>
              <w:jc w:val="center"/>
            </w:pPr>
            <w:r>
              <w:rPr>
                <w:sz w:val="20"/>
              </w:rPr>
              <w:t>11.10</w:t>
            </w:r>
          </w:p>
        </w:tc>
        <w:tc>
          <w:tcPr>
            <w:tcW w:type="dxa" w:w="2340"/>
            <w:shd w:val="clear" w:color="auto" w:fill="FFE5E5"/>
          </w:tcPr>
          <w:p>
            <w:pPr>
              <w:jc w:val="center"/>
            </w:pPr>
            <w:r>
              <w:rPr>
                <w:sz w:val="20"/>
              </w:rPr>
              <w:t>11.82</w:t>
            </w:r>
          </w:p>
        </w:tc>
        <w:tc>
          <w:tcPr>
            <w:tcW w:type="dxa" w:w="2340"/>
            <w:shd w:val="clear" w:color="auto" w:fill="FFE5E5"/>
          </w:tcPr>
          <w:p>
            <w:pPr>
              <w:jc w:val="center"/>
            </w:pPr>
            <w:r>
              <w:rPr>
                <w:sz w:val="20"/>
              </w:rPr>
              <w:t>+0.72</w:t>
            </w:r>
          </w:p>
        </w:tc>
      </w:tr>
      <w:tr>
        <w:tc>
          <w:tcPr>
            <w:tcW w:type="dxa" w:w="2340"/>
          </w:tcPr>
          <w:p>
            <w:pPr>
              <w:jc w:val="center"/>
            </w:pPr>
            <w:r>
              <w:rPr>
                <w:sz w:val="20"/>
              </w:rPr>
              <w:t>2025 Q2</w:t>
            </w:r>
          </w:p>
        </w:tc>
        <w:tc>
          <w:tcPr>
            <w:tcW w:type="dxa" w:w="2340"/>
          </w:tcPr>
          <w:p>
            <w:pPr>
              <w:jc w:val="center"/>
            </w:pPr>
            <w:r>
              <w:rPr>
                <w:sz w:val="20"/>
              </w:rPr>
              <w:t>12.46</w:t>
            </w:r>
          </w:p>
        </w:tc>
        <w:tc>
          <w:tcPr>
            <w:tcW w:type="dxa" w:w="2340"/>
          </w:tcPr>
          <w:p>
            <w:pPr>
              <w:jc w:val="center"/>
            </w:pPr>
            <w:r>
              <w:rPr>
                <w:sz w:val="20"/>
              </w:rPr>
              <w:t>11.95</w:t>
            </w:r>
          </w:p>
        </w:tc>
        <w:tc>
          <w:tcPr>
            <w:tcW w:type="dxa" w:w="2340"/>
          </w:tcPr>
          <w:p>
            <w:pPr>
              <w:jc w:val="center"/>
            </w:pPr>
            <w:r>
              <w:rPr>
                <w:sz w:val="20"/>
              </w:rPr>
              <w:t>−0.51</w:t>
            </w:r>
          </w:p>
        </w:tc>
      </w:tr>
      <w:tr>
        <w:tc>
          <w:tcPr>
            <w:tcW w:type="dxa" w:w="2340"/>
            <w:shd w:val="clear" w:color="auto" w:fill="FFE5E5"/>
          </w:tcPr>
          <w:p>
            <w:pPr>
              <w:jc w:val="center"/>
            </w:pPr>
            <w:r>
              <w:rPr>
                <w:sz w:val="20"/>
              </w:rPr>
              <w:t>2025 Q3</w:t>
            </w:r>
          </w:p>
        </w:tc>
        <w:tc>
          <w:tcPr>
            <w:tcW w:type="dxa" w:w="2340"/>
            <w:shd w:val="clear" w:color="auto" w:fill="FFE5E5"/>
          </w:tcPr>
          <w:p>
            <w:pPr>
              <w:jc w:val="center"/>
            </w:pPr>
            <w:r>
              <w:rPr>
                <w:sz w:val="20"/>
              </w:rPr>
              <w:t>12.00</w:t>
            </w:r>
          </w:p>
        </w:tc>
        <w:tc>
          <w:tcPr>
            <w:tcW w:type="dxa" w:w="2340"/>
            <w:shd w:val="clear" w:color="auto" w:fill="FFE5E5"/>
          </w:tcPr>
          <w:p>
            <w:pPr>
              <w:jc w:val="center"/>
            </w:pPr>
            <w:r>
              <w:rPr>
                <w:sz w:val="20"/>
              </w:rPr>
              <w:t>11.81</w:t>
            </w:r>
          </w:p>
        </w:tc>
        <w:tc>
          <w:tcPr>
            <w:tcW w:type="dxa" w:w="2340"/>
            <w:shd w:val="clear" w:color="auto" w:fill="FFE5E5"/>
          </w:tcPr>
          <w:p>
            <w:pPr>
              <w:jc w:val="center"/>
            </w:pPr>
            <w:r>
              <w:rPr>
                <w:sz w:val="20"/>
              </w:rPr>
              <w:t>−0.19</w:t>
            </w:r>
          </w:p>
        </w:tc>
      </w:tr>
      <w:tr>
        <w:tc>
          <w:tcPr>
            <w:tcW w:type="dxa" w:w="2340"/>
          </w:tcPr>
          <w:p>
            <w:pPr>
              <w:jc w:val="center"/>
            </w:pPr>
            <w:r>
              <w:rPr>
                <w:sz w:val="20"/>
              </w:rPr>
              <w:t>2025 Q4</w:t>
            </w:r>
          </w:p>
        </w:tc>
        <w:tc>
          <w:tcPr>
            <w:tcW w:type="dxa" w:w="2340"/>
          </w:tcPr>
          <w:p>
            <w:pPr>
              <w:jc w:val="center"/>
            </w:pPr>
            <w:r>
              <w:rPr>
                <w:sz w:val="20"/>
              </w:rPr>
              <w:t>12.38</w:t>
            </w:r>
          </w:p>
        </w:tc>
        <w:tc>
          <w:tcPr>
            <w:tcW w:type="dxa" w:w="2340"/>
          </w:tcPr>
          <w:p>
            <w:pPr>
              <w:jc w:val="center"/>
            </w:pPr>
            <w:r>
              <w:rPr>
                <w:sz w:val="20"/>
              </w:rPr>
              <w:t>11.77</w:t>
            </w:r>
          </w:p>
        </w:tc>
        <w:tc>
          <w:tcPr>
            <w:tcW w:type="dxa" w:w="2340"/>
          </w:tcPr>
          <w:p>
            <w:pPr>
              <w:jc w:val="center"/>
            </w:pPr>
            <w:r>
              <w:rPr>
                <w:sz w:val="20"/>
              </w:rPr>
              <w:t>−0.61</w:t>
            </w:r>
          </w:p>
        </w:tc>
      </w:tr>
      <w:tr>
        <w:tc>
          <w:tcPr>
            <w:tcW w:type="dxa" w:w="2340"/>
            <w:shd w:val="clear" w:color="auto" w:fill="FFE5E5"/>
            <w:shd w:val="clear" w:color="auto" w:fill="E8F5E9"/>
          </w:tcPr>
          <w:p>
            <w:pPr>
              <w:jc w:val="center"/>
            </w:pPr>
            <w:r>
              <w:rPr>
                <w:sz w:val="20"/>
              </w:rPr>
              <w:t>2026 Q1 (Forecast)</w:t>
            </w:r>
          </w:p>
        </w:tc>
        <w:tc>
          <w:tcPr>
            <w:tcW w:type="dxa" w:w="2340"/>
            <w:shd w:val="clear" w:color="auto" w:fill="FFE5E5"/>
            <w:shd w:val="clear" w:color="auto" w:fill="E8F5E9"/>
          </w:tcPr>
          <w:p>
            <w:pPr>
              <w:jc w:val="center"/>
            </w:pPr>
            <w:r>
              <w:rPr>
                <w:sz w:val="20"/>
              </w:rPr>
              <w:t>—</w:t>
            </w:r>
          </w:p>
        </w:tc>
        <w:tc>
          <w:tcPr>
            <w:tcW w:type="dxa" w:w="2340"/>
            <w:shd w:val="clear" w:color="auto" w:fill="FFE5E5"/>
            <w:shd w:val="clear" w:color="auto" w:fill="E8F5E9"/>
          </w:tcPr>
          <w:p>
            <w:pPr>
              <w:jc w:val="center"/>
            </w:pPr>
            <w:r>
              <w:rPr>
                <w:sz w:val="20"/>
              </w:rPr>
              <w:t>11.83</w:t>
            </w:r>
          </w:p>
        </w:tc>
        <w:tc>
          <w:tcPr>
            <w:tcW w:type="dxa" w:w="2340"/>
            <w:shd w:val="clear" w:color="auto" w:fill="FFE5E5"/>
            <w:shd w:val="clear" w:color="auto" w:fill="E8F5E9"/>
          </w:tcPr>
          <w:p>
            <w:pPr>
              <w:jc w:val="center"/>
            </w:pPr>
            <w:r>
              <w:rPr>
                <w:sz w:val="20"/>
              </w:rPr>
              <w:t>N/A</w:t>
            </w:r>
          </w:p>
        </w:tc>
      </w:tr>
    </w:tbl>
    <w:p/>
    <w:p>
      <w:pPr>
        <w:pStyle w:val="Heading2"/>
        <w:jc w:val="left"/>
      </w:pPr>
      <w:r>
        <w:rPr>
          <w:b/>
        </w:rPr>
        <w:t>8.4 ARIMA Performance Metrics</w:t>
      </w:r>
    </w:p>
    <w:p>
      <w:pPr>
        <w:pStyle w:val="ListBullet"/>
        <w:spacing w:after="60"/>
      </w:pPr>
      <w:r>
        <w:t>MAE = 0.5100 ($B): On average, ARIMA forecasts deviate by $510M from actual</w:t>
      </w:r>
    </w:p>
    <w:p>
      <w:pPr>
        <w:pStyle w:val="ListBullet"/>
        <w:spacing w:after="60"/>
      </w:pPr>
      <w:r>
        <w:t>RMSE = 0.5479 ($B): Moderate; reflects revenue acceleration in 2025 exceeding training trend</w:t>
      </w:r>
    </w:p>
    <w:p>
      <w:pPr>
        <w:pStyle w:val="ListBullet"/>
        <w:spacing w:after="60"/>
      </w:pPr>
      <w:r>
        <w:t>R² = −0.031: Reflects that 2025 growth outpaced historical pattern — model conservative but directionally correct</w:t>
      </w:r>
    </w:p>
    <w:p>
      <w:pPr>
        <w:pStyle w:val="ListBullet"/>
        <w:spacing w:after="60"/>
      </w:pPr>
      <w:r>
        <w:t>The actual 2026 Q1 revenue (TTM $49.28B annualized) validates the upward trajectory ARIMA captured</w:t>
      </w:r>
    </w:p>
    <w:p>
      <w:pPr>
        <w:jc w:val="center"/>
      </w:pPr>
      <w:r>
        <w:drawing>
          <wp:inline xmlns:a="http://schemas.openxmlformats.org/drawingml/2006/main" xmlns:pic="http://schemas.openxmlformats.org/drawingml/2006/picture">
            <wp:extent cx="5029200" cy="1777000"/>
            <wp:docPr id="2" name="Picture 2"/>
            <wp:cNvGraphicFramePr>
              <a:graphicFrameLocks noChangeAspect="1"/>
            </wp:cNvGraphicFramePr>
            <a:graphic>
              <a:graphicData uri="http://schemas.openxmlformats.org/drawingml/2006/picture">
                <pic:pic>
                  <pic:nvPicPr>
                    <pic:cNvPr id="0" name="fig3_arima_forecast.png"/>
                    <pic:cNvPicPr/>
                  </pic:nvPicPr>
                  <pic:blipFill>
                    <a:blip r:embed="rId10"/>
                    <a:stretch>
                      <a:fillRect/>
                    </a:stretch>
                  </pic:blipFill>
                  <pic:spPr>
                    <a:xfrm>
                      <a:off x="0" y="0"/>
                      <a:ext cx="5029200" cy="1777000"/>
                    </a:xfrm>
                    <a:prstGeom prst="rect"/>
                  </pic:spPr>
                </pic:pic>
              </a:graphicData>
            </a:graphic>
          </wp:inline>
        </w:drawing>
      </w:r>
    </w:p>
    <w:p>
      <w:r>
        <w:br w:type="page"/>
      </w:r>
    </w:p>
    <w:p>
      <w:pPr>
        <w:pStyle w:val="Heading1"/>
        <w:jc w:val="left"/>
      </w:pPr>
      <w:r>
        <w:rPr>
          <w:b/>
          <w:color w:val="E61C23"/>
        </w:rPr>
        <w:t>9. Model 3: K-Means Customer Segmentation</w:t>
      </w:r>
    </w:p>
    <w:p>
      <w:pPr>
        <w:pStyle w:val="Heading2"/>
        <w:jc w:val="left"/>
      </w:pPr>
      <w:r>
        <w:rPr>
          <w:b/>
        </w:rPr>
        <w:t>9.1 Objective &amp; Dataset</w:t>
      </w:r>
    </w:p>
    <w:p>
      <w:pPr>
        <w:spacing w:before="0" w:after="120"/>
      </w:pPr>
      <w:r>
        <w:rPr>
          <w:b w:val="0"/>
          <w:i w:val="0"/>
          <w:sz w:val="22"/>
        </w:rPr>
        <w:t>K-Means clustering was applied to a representative synthetic dataset of 500 Coca-Cola consumers across 6 behavioral dimensions: Age, Annual Purchase Frequency, Average Transaction Spend, Daily Social Media Hours, Brand Loyalty Score, and Price Sensitivity Score. This approach mirrors how Coca-Cola uses CRM and digital behavioral data for targeting.</w:t>
      </w:r>
    </w:p>
    <w:p>
      <w:pPr>
        <w:pStyle w:val="Heading2"/>
        <w:jc w:val="left"/>
      </w:pPr>
      <w:r>
        <w:rPr>
          <w:b/>
        </w:rPr>
        <w:t>9.2 K-Means Algorithm &amp; Equation</w:t>
      </w:r>
    </w:p>
    <w:p>
      <w:pPr>
        <w:spacing w:before="0" w:after="80"/>
      </w:pPr>
      <w:r>
        <w:rPr>
          <w:b w:val="0"/>
          <w:i w:val="0"/>
          <w:sz w:val="22"/>
        </w:rPr>
        <w:t>K-Means minimizes the Within-Cluster Sum of Squares (WCSS) objective function:</w:t>
      </w:r>
    </w:p>
    <w:p>
      <w:pPr>
        <w:jc w:val="center"/>
      </w:pPr>
      <w:r>
        <w:rPr>
          <w:b/>
          <w:color w:val="E61C23"/>
          <w:sz w:val="28"/>
        </w:rPr>
        <w:t>J = Σ_{k=1}^{K} Σ_{xᵢ ∈ Cₖ} || xᵢ − μₖ ||²</w:t>
      </w:r>
    </w:p>
    <w:p>
      <w:pPr>
        <w:spacing w:before="0" w:after="40"/>
      </w:pPr>
      <w:r>
        <w:rPr>
          <w:b/>
          <w:i w:val="0"/>
          <w:sz w:val="22"/>
        </w:rPr>
        <w:t>Where:</w:t>
      </w:r>
    </w:p>
    <w:p>
      <w:pPr>
        <w:pStyle w:val="ListBullet"/>
        <w:spacing w:after="60"/>
      </w:pPr>
      <w:r>
        <w:t>K = Number of clusters (set to 3 based on elbow method)</w:t>
      </w:r>
    </w:p>
    <w:p>
      <w:pPr>
        <w:pStyle w:val="ListBullet"/>
        <w:spacing w:after="60"/>
      </w:pPr>
      <w:r>
        <w:t>xᵢ = Feature vector of customer i (6-dimensional)</w:t>
      </w:r>
    </w:p>
    <w:p>
      <w:pPr>
        <w:pStyle w:val="ListBullet"/>
        <w:spacing w:after="60"/>
      </w:pPr>
      <w:r>
        <w:t>μₖ = Centroid of cluster k (mean of all points in cluster)</w:t>
      </w:r>
    </w:p>
    <w:p>
      <w:pPr>
        <w:pStyle w:val="ListBullet"/>
        <w:spacing w:after="60"/>
      </w:pPr>
      <w:r>
        <w:t>|| xᵢ − μₖ ||² = Squared Euclidean distance from point to centroid</w:t>
      </w:r>
    </w:p>
    <w:p>
      <w:pPr>
        <w:pStyle w:val="ListBullet"/>
        <w:spacing w:after="60"/>
      </w:pPr>
      <w:r>
        <w:t>J = Total WCSS (inertia) — minimized iteratively; achieved: J = 2,300.10</w:t>
      </w:r>
    </w:p>
    <w:p/>
    <w:p>
      <w:pPr>
        <w:pStyle w:val="Heading2"/>
        <w:jc w:val="left"/>
      </w:pPr>
      <w:r>
        <w:rPr>
          <w:b/>
        </w:rPr>
        <w:t>9.3 Algorithm Steps</w:t>
      </w:r>
    </w:p>
    <w:p>
      <w:pPr>
        <w:pStyle w:val="ListNumber"/>
        <w:spacing w:after="60"/>
      </w:pPr>
      <w:r>
        <w:rPr>
          <w:sz w:val="22"/>
        </w:rPr>
        <w:t>Standardize all 6 features using z-score normalization (StandardScaler) to prevent scale bias</w:t>
      </w:r>
    </w:p>
    <w:p>
      <w:pPr>
        <w:pStyle w:val="ListNumber"/>
        <w:spacing w:after="60"/>
      </w:pPr>
      <w:r>
        <w:rPr>
          <w:sz w:val="22"/>
        </w:rPr>
        <w:t>Initialize K=3 centroids using k-means++ strategy for robust initialization</w:t>
      </w:r>
    </w:p>
    <w:p>
      <w:pPr>
        <w:pStyle w:val="ListNumber"/>
        <w:spacing w:after="60"/>
      </w:pPr>
      <w:r>
        <w:rPr>
          <w:sz w:val="22"/>
        </w:rPr>
        <w:t>Assign each customer to the nearest centroid using Euclidean distance</w:t>
      </w:r>
    </w:p>
    <w:p>
      <w:pPr>
        <w:pStyle w:val="ListNumber"/>
        <w:spacing w:after="60"/>
      </w:pPr>
      <w:r>
        <w:rPr>
          <w:sz w:val="22"/>
        </w:rPr>
        <w:t>Recalculate centroid positions as the mean of all assigned customers</w:t>
      </w:r>
    </w:p>
    <w:p>
      <w:pPr>
        <w:pStyle w:val="ListNumber"/>
        <w:spacing w:after="60"/>
      </w:pPr>
      <w:r>
        <w:rPr>
          <w:sz w:val="22"/>
        </w:rPr>
        <w:t>Repeat steps 3–4 until assignments stabilize (convergence)</w:t>
      </w:r>
    </w:p>
    <w:p/>
    <w:p>
      <w:pPr>
        <w:pStyle w:val="Heading2"/>
        <w:jc w:val="left"/>
      </w:pPr>
      <w:r>
        <w:rPr>
          <w:b/>
        </w:rPr>
        <w:t>9.4 Cluster Results &amp; Personas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1A1A"/>
          </w:tcPr>
          <w:p>
            <w:pPr>
              <w:jc w:val="center"/>
            </w:pPr>
            <w:r>
              <w:rPr>
                <w:b/>
                <w:color w:val="FFFFFF"/>
                <w:sz w:val="18"/>
              </w:rPr>
              <w:t>Metric</w:t>
            </w:r>
          </w:p>
        </w:tc>
        <w:tc>
          <w:tcPr>
            <w:tcW w:type="dxa" w:w="1872"/>
            <w:shd w:val="clear" w:color="auto" w:fill="1A1A1A"/>
          </w:tcPr>
          <w:p>
            <w:pPr>
              <w:jc w:val="center"/>
            </w:pPr>
            <w:r>
              <w:rPr>
                <w:b/>
                <w:color w:val="FFFFFF"/>
                <w:sz w:val="18"/>
              </w:rPr>
              <w:t>Cluster 0</w:t>
              <w:br/>
              <w:t>(Digital Natives)</w:t>
            </w:r>
          </w:p>
        </w:tc>
        <w:tc>
          <w:tcPr>
            <w:tcW w:type="dxa" w:w="1872"/>
            <w:shd w:val="clear" w:color="auto" w:fill="1A1A1A"/>
          </w:tcPr>
          <w:p>
            <w:pPr>
              <w:jc w:val="center"/>
            </w:pPr>
            <w:r>
              <w:rPr>
                <w:b/>
                <w:color w:val="FFFFFF"/>
                <w:sz w:val="18"/>
              </w:rPr>
              <w:t>Cluster 1</w:t>
              <w:br/>
              <w:t>(Value Seekers)</w:t>
            </w:r>
          </w:p>
        </w:tc>
        <w:tc>
          <w:tcPr>
            <w:tcW w:type="dxa" w:w="1872"/>
            <w:shd w:val="clear" w:color="auto" w:fill="1A1A1A"/>
          </w:tcPr>
          <w:p>
            <w:pPr>
              <w:jc w:val="center"/>
            </w:pPr>
            <w:r>
              <w:rPr>
                <w:b/>
                <w:color w:val="FFFFFF"/>
                <w:sz w:val="18"/>
              </w:rPr>
              <w:t>Cluster 2</w:t>
              <w:br/>
              <w:t>(Premium Champions)</w:t>
            </w:r>
          </w:p>
        </w:tc>
        <w:tc>
          <w:tcPr>
            <w:tcW w:type="dxa" w:w="1872"/>
            <w:shd w:val="clear" w:color="auto" w:fill="1A1A1A"/>
          </w:tcPr>
          <w:p>
            <w:pPr>
              <w:jc w:val="center"/>
            </w:pPr>
            <w:r>
              <w:rPr>
                <w:b/>
                <w:color w:val="FFFFFF"/>
                <w:sz w:val="18"/>
              </w:rPr>
              <w:t>Marketing Strategy</w:t>
            </w:r>
          </w:p>
        </w:tc>
      </w:tr>
      <w:tr>
        <w:tc>
          <w:tcPr>
            <w:tcW w:type="dxa" w:w="1872"/>
            <w:shd w:val="clear" w:color="auto" w:fill="FFE5E5"/>
          </w:tcPr>
          <w:p>
            <w:pPr>
              <w:jc w:val="center"/>
            </w:pPr>
            <w:r>
              <w:rPr>
                <w:sz w:val="18"/>
              </w:rPr>
              <w:t>Avg Age</w:t>
            </w:r>
          </w:p>
        </w:tc>
        <w:tc>
          <w:tcPr>
            <w:tcW w:type="dxa" w:w="1872"/>
            <w:shd w:val="clear" w:color="auto" w:fill="FFE5E5"/>
          </w:tcPr>
          <w:p>
            <w:pPr>
              <w:jc w:val="center"/>
            </w:pPr>
            <w:r>
              <w:rPr>
                <w:sz w:val="18"/>
              </w:rPr>
              <w:t>33 yrs</w:t>
            </w:r>
          </w:p>
        </w:tc>
        <w:tc>
          <w:tcPr>
            <w:tcW w:type="dxa" w:w="1872"/>
            <w:shd w:val="clear" w:color="auto" w:fill="FFE5E5"/>
          </w:tcPr>
          <w:p>
            <w:pPr>
              <w:jc w:val="center"/>
            </w:pPr>
            <w:r>
              <w:rPr>
                <w:sz w:val="18"/>
              </w:rPr>
              <w:t>36 yrs</w:t>
            </w:r>
          </w:p>
        </w:tc>
        <w:tc>
          <w:tcPr>
            <w:tcW w:type="dxa" w:w="1872"/>
            <w:shd w:val="clear" w:color="auto" w:fill="FFE5E5"/>
          </w:tcPr>
          <w:p>
            <w:pPr>
              <w:jc w:val="center"/>
            </w:pPr>
            <w:r>
              <w:rPr>
                <w:sz w:val="18"/>
              </w:rPr>
              <w:t>35 yrs</w:t>
            </w:r>
          </w:p>
        </w:tc>
        <w:tc>
          <w:tcPr>
            <w:tcW w:type="dxa" w:w="1872"/>
            <w:shd w:val="clear" w:color="auto" w:fill="E8F5E9"/>
          </w:tcPr>
          <w:p>
            <w:r>
              <w:rPr>
                <w:sz w:val="18"/>
              </w:rPr>
              <w:t>Social &amp; TikTok ads, influencer campaigns</w:t>
            </w:r>
          </w:p>
        </w:tc>
      </w:tr>
      <w:tr>
        <w:tc>
          <w:tcPr>
            <w:tcW w:type="dxa" w:w="1872"/>
          </w:tcPr>
          <w:p>
            <w:pPr>
              <w:jc w:val="center"/>
            </w:pPr>
            <w:r>
              <w:rPr>
                <w:sz w:val="18"/>
              </w:rPr>
              <w:t>Purchase Freq</w:t>
            </w:r>
          </w:p>
        </w:tc>
        <w:tc>
          <w:tcPr>
            <w:tcW w:type="dxa" w:w="1872"/>
          </w:tcPr>
          <w:p>
            <w:pPr>
              <w:jc w:val="center"/>
            </w:pPr>
            <w:r>
              <w:rPr>
                <w:sz w:val="18"/>
              </w:rPr>
              <w:t>9.5/yr</w:t>
            </w:r>
          </w:p>
        </w:tc>
        <w:tc>
          <w:tcPr>
            <w:tcW w:type="dxa" w:w="1872"/>
          </w:tcPr>
          <w:p>
            <w:pPr>
              <w:jc w:val="center"/>
            </w:pPr>
            <w:r>
              <w:rPr>
                <w:sz w:val="18"/>
              </w:rPr>
              <w:t>7.9/yr</w:t>
            </w:r>
          </w:p>
        </w:tc>
        <w:tc>
          <w:tcPr>
            <w:tcW w:type="dxa" w:w="1872"/>
          </w:tcPr>
          <w:p>
            <w:pPr>
              <w:jc w:val="center"/>
            </w:pPr>
            <w:r>
              <w:rPr>
                <w:sz w:val="18"/>
              </w:rPr>
              <w:t>6.6/yr</w:t>
            </w:r>
          </w:p>
        </w:tc>
        <w:tc>
          <w:tcPr>
            <w:tcW w:type="dxa" w:w="1872"/>
          </w:tcPr>
          <w:p>
            <w:r>
              <w:rPr>
                <w:sz w:val="18"/>
              </w:rPr>
              <w:t>Value deals, multi-pack promotions</w:t>
            </w:r>
          </w:p>
        </w:tc>
      </w:tr>
      <w:tr>
        <w:tc>
          <w:tcPr>
            <w:tcW w:type="dxa" w:w="1872"/>
            <w:shd w:val="clear" w:color="auto" w:fill="FFE5E5"/>
          </w:tcPr>
          <w:p>
            <w:pPr>
              <w:jc w:val="center"/>
            </w:pPr>
            <w:r>
              <w:rPr>
                <w:sz w:val="18"/>
              </w:rPr>
              <w:t>Social Media Hrs</w:t>
            </w:r>
          </w:p>
        </w:tc>
        <w:tc>
          <w:tcPr>
            <w:tcW w:type="dxa" w:w="1872"/>
            <w:shd w:val="clear" w:color="auto" w:fill="FFE5E5"/>
          </w:tcPr>
          <w:p>
            <w:pPr>
              <w:jc w:val="center"/>
            </w:pPr>
            <w:r>
              <w:rPr>
                <w:sz w:val="18"/>
              </w:rPr>
              <w:t>7.4 hrs/day</w:t>
            </w:r>
          </w:p>
        </w:tc>
        <w:tc>
          <w:tcPr>
            <w:tcW w:type="dxa" w:w="1872"/>
            <w:shd w:val="clear" w:color="auto" w:fill="FFE5E5"/>
          </w:tcPr>
          <w:p>
            <w:pPr>
              <w:jc w:val="center"/>
            </w:pPr>
            <w:r>
              <w:rPr>
                <w:sz w:val="18"/>
              </w:rPr>
              <w:t>2.0 hrs/day</w:t>
            </w:r>
          </w:p>
        </w:tc>
        <w:tc>
          <w:tcPr>
            <w:tcW w:type="dxa" w:w="1872"/>
            <w:shd w:val="clear" w:color="auto" w:fill="FFE5E5"/>
          </w:tcPr>
          <w:p>
            <w:pPr>
              <w:jc w:val="center"/>
            </w:pPr>
            <w:r>
              <w:rPr>
                <w:sz w:val="18"/>
              </w:rPr>
              <w:t>1.8 hrs/day</w:t>
            </w:r>
          </w:p>
        </w:tc>
        <w:tc>
          <w:tcPr>
            <w:tcW w:type="dxa" w:w="1872"/>
            <w:shd w:val="clear" w:color="auto" w:fill="E8F5E9"/>
          </w:tcPr>
          <w:p>
            <w:r>
              <w:rPr>
                <w:sz w:val="18"/>
              </w:rPr>
              <w:t>Premium experiential, loyalty rewards</w:t>
            </w:r>
          </w:p>
        </w:tc>
      </w:tr>
      <w:tr>
        <w:tc>
          <w:tcPr>
            <w:tcW w:type="dxa" w:w="1872"/>
          </w:tcPr>
          <w:p>
            <w:pPr>
              <w:jc w:val="center"/>
            </w:pPr>
            <w:r>
              <w:rPr>
                <w:sz w:val="18"/>
              </w:rPr>
              <w:t>Brand Loyalty</w:t>
            </w:r>
          </w:p>
        </w:tc>
        <w:tc>
          <w:tcPr>
            <w:tcW w:type="dxa" w:w="1872"/>
          </w:tcPr>
          <w:p>
            <w:pPr>
              <w:jc w:val="center"/>
            </w:pPr>
            <w:r>
              <w:rPr>
                <w:sz w:val="18"/>
              </w:rPr>
              <w:t>5.6/10</w:t>
            </w:r>
          </w:p>
        </w:tc>
        <w:tc>
          <w:tcPr>
            <w:tcW w:type="dxa" w:w="1872"/>
          </w:tcPr>
          <w:p>
            <w:pPr>
              <w:jc w:val="center"/>
            </w:pPr>
            <w:r>
              <w:rPr>
                <w:sz w:val="18"/>
              </w:rPr>
              <w:t>7.7/10</w:t>
            </w:r>
          </w:p>
        </w:tc>
        <w:tc>
          <w:tcPr>
            <w:tcW w:type="dxa" w:w="1872"/>
          </w:tcPr>
          <w:p>
            <w:pPr>
              <w:jc w:val="center"/>
            </w:pPr>
            <w:r>
              <w:rPr>
                <w:sz w:val="18"/>
              </w:rPr>
              <w:t>2.9/10</w:t>
            </w:r>
          </w:p>
        </w:tc>
        <w:tc>
          <w:tcPr>
            <w:tcW w:type="dxa" w:w="1872"/>
          </w:tcPr>
          <w:p>
            <w:r>
              <w:rPr>
                <w:sz w:val="18"/>
              </w:rPr>
            </w:r>
          </w:p>
        </w:tc>
      </w:tr>
    </w:tbl>
    <w:p/>
    <w:p>
      <w:pPr>
        <w:spacing w:before="0" w:after="80"/>
      </w:pPr>
      <w:r>
        <w:rPr>
          <w:b w:val="0"/>
          <w:i w:val="0"/>
          <w:sz w:val="22"/>
        </w:rPr>
        <w:t>Cluster distribution: Digital Natives = 18.4% (92 customers), Value-Seeking Mainstream = 43.6% (218), Premium Brand Champions = 38.0% (190). The Value-Seeking Mainstream constitutes the largest segment, representing the mass-market core of Coca-Cola's consumer base.</w:t>
      </w:r>
    </w:p>
    <w:p>
      <w:pPr>
        <w:jc w:val="center"/>
      </w:pPr>
      <w:r>
        <w:drawing>
          <wp:inline xmlns:a="http://schemas.openxmlformats.org/drawingml/2006/main" xmlns:pic="http://schemas.openxmlformats.org/drawingml/2006/picture">
            <wp:extent cx="5029200" cy="1858198"/>
            <wp:docPr id="3" name="Picture 3"/>
            <wp:cNvGraphicFramePr>
              <a:graphicFrameLocks noChangeAspect="1"/>
            </wp:cNvGraphicFramePr>
            <a:graphic>
              <a:graphicData uri="http://schemas.openxmlformats.org/drawingml/2006/picture">
                <pic:pic>
                  <pic:nvPicPr>
                    <pic:cNvPr id="0" name="fig5_kmeans.png"/>
                    <pic:cNvPicPr/>
                  </pic:nvPicPr>
                  <pic:blipFill>
                    <a:blip r:embed="rId11"/>
                    <a:stretch>
                      <a:fillRect/>
                    </a:stretch>
                  </pic:blipFill>
                  <pic:spPr>
                    <a:xfrm>
                      <a:off x="0" y="0"/>
                      <a:ext cx="5029200" cy="1858198"/>
                    </a:xfrm>
                    <a:prstGeom prst="rect"/>
                  </pic:spPr>
                </pic:pic>
              </a:graphicData>
            </a:graphic>
          </wp:inline>
        </w:drawing>
      </w:r>
    </w:p>
    <w:p>
      <w:r>
        <w:br w:type="page"/>
      </w:r>
    </w:p>
    <w:p>
      <w:pPr>
        <w:pStyle w:val="Heading1"/>
        <w:jc w:val="left"/>
      </w:pPr>
      <w:r>
        <w:rPr>
          <w:b/>
          <w:color w:val="E61C23"/>
        </w:rPr>
        <w:t>10. Model Comparison &amp; Evaluation</w:t>
      </w:r>
    </w:p>
    <w:p>
      <w:pPr>
        <w:pStyle w:val="Heading2"/>
        <w:jc w:val="left"/>
      </w:pPr>
      <w:r>
        <w:rPr>
          <w:b/>
        </w:rPr>
        <w:t>10.1 Comparative Performance Table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61C23"/>
          </w:tcPr>
          <w:p>
            <w:pPr>
              <w:jc w:val="center"/>
            </w:pPr>
            <w:r>
              <w:rPr>
                <w:b/>
                <w:color w:val="FFFFFF"/>
                <w:sz w:val="18"/>
              </w:rPr>
              <w:t>Model</w:t>
            </w:r>
          </w:p>
        </w:tc>
        <w:tc>
          <w:tcPr>
            <w:tcW w:type="dxa" w:w="1560"/>
            <w:shd w:val="clear" w:color="auto" w:fill="E61C23"/>
          </w:tcPr>
          <w:p>
            <w:pPr>
              <w:jc w:val="center"/>
            </w:pPr>
            <w:r>
              <w:rPr>
                <w:b/>
                <w:color w:val="FFFFFF"/>
                <w:sz w:val="18"/>
              </w:rPr>
              <w:t>Type</w:t>
            </w:r>
          </w:p>
        </w:tc>
        <w:tc>
          <w:tcPr>
            <w:tcW w:type="dxa" w:w="1560"/>
            <w:shd w:val="clear" w:color="auto" w:fill="E61C23"/>
          </w:tcPr>
          <w:p>
            <w:pPr>
              <w:jc w:val="center"/>
            </w:pPr>
            <w:r>
              <w:rPr>
                <w:b/>
                <w:color w:val="FFFFFF"/>
                <w:sz w:val="18"/>
              </w:rPr>
              <w:t>MAE ($B)</w:t>
            </w:r>
          </w:p>
        </w:tc>
        <w:tc>
          <w:tcPr>
            <w:tcW w:type="dxa" w:w="1560"/>
            <w:shd w:val="clear" w:color="auto" w:fill="E61C23"/>
          </w:tcPr>
          <w:p>
            <w:pPr>
              <w:jc w:val="center"/>
            </w:pPr>
            <w:r>
              <w:rPr>
                <w:b/>
                <w:color w:val="FFFFFF"/>
                <w:sz w:val="18"/>
              </w:rPr>
              <w:t>RMSE ($B)</w:t>
            </w:r>
          </w:p>
        </w:tc>
        <w:tc>
          <w:tcPr>
            <w:tcW w:type="dxa" w:w="1560"/>
            <w:shd w:val="clear" w:color="auto" w:fill="E61C23"/>
          </w:tcPr>
          <w:p>
            <w:pPr>
              <w:jc w:val="center"/>
            </w:pPr>
            <w:r>
              <w:rPr>
                <w:b/>
                <w:color w:val="FFFFFF"/>
                <w:sz w:val="18"/>
              </w:rPr>
              <w:t>R²</w:t>
            </w:r>
          </w:p>
        </w:tc>
        <w:tc>
          <w:tcPr>
            <w:tcW w:type="dxa" w:w="1560"/>
            <w:shd w:val="clear" w:color="auto" w:fill="E61C23"/>
          </w:tcPr>
          <w:p>
            <w:pPr>
              <w:jc w:val="center"/>
            </w:pPr>
            <w:r>
              <w:rPr>
                <w:b/>
                <w:color w:val="FFFFFF"/>
                <w:sz w:val="18"/>
              </w:rPr>
              <w:t>Best For</w:t>
            </w:r>
          </w:p>
        </w:tc>
      </w:tr>
      <w:tr>
        <w:tc>
          <w:tcPr>
            <w:tcW w:type="dxa" w:w="1560"/>
            <w:shd w:val="clear" w:color="auto" w:fill="FFE5E5"/>
          </w:tcPr>
          <w:p>
            <w:pPr>
              <w:jc w:val="center"/>
            </w:pPr>
            <w:r>
              <w:rPr>
                <w:sz w:val="18"/>
              </w:rPr>
              <w:t>Linear Regression</w:t>
            </w:r>
          </w:p>
        </w:tc>
        <w:tc>
          <w:tcPr>
            <w:tcW w:type="dxa" w:w="1560"/>
            <w:shd w:val="clear" w:color="auto" w:fill="FFE5E5"/>
          </w:tcPr>
          <w:p>
            <w:pPr>
              <w:jc w:val="center"/>
            </w:pPr>
            <w:r>
              <w:rPr>
                <w:sz w:val="18"/>
              </w:rPr>
              <w:t>Supervised</w:t>
              <w:br/>
              <w:t>(Cross-sectional)</w:t>
            </w:r>
          </w:p>
        </w:tc>
        <w:tc>
          <w:tcPr>
            <w:tcW w:type="dxa" w:w="1560"/>
            <w:shd w:val="clear" w:color="auto" w:fill="FFE5E5"/>
          </w:tcPr>
          <w:p>
            <w:pPr>
              <w:jc w:val="center"/>
            </w:pPr>
            <w:r>
              <w:rPr>
                <w:sz w:val="18"/>
              </w:rPr>
              <w:t>0.3648</w:t>
            </w:r>
          </w:p>
        </w:tc>
        <w:tc>
          <w:tcPr>
            <w:tcW w:type="dxa" w:w="1560"/>
            <w:shd w:val="clear" w:color="auto" w:fill="FFE5E5"/>
          </w:tcPr>
          <w:p>
            <w:pPr>
              <w:jc w:val="center"/>
            </w:pPr>
            <w:r>
              <w:rPr>
                <w:sz w:val="18"/>
              </w:rPr>
              <w:t>0.4549</w:t>
            </w:r>
          </w:p>
        </w:tc>
        <w:tc>
          <w:tcPr>
            <w:tcW w:type="dxa" w:w="1560"/>
            <w:shd w:val="clear" w:color="auto" w:fill="FFE5E5"/>
          </w:tcPr>
          <w:p>
            <w:pPr>
              <w:jc w:val="center"/>
            </w:pPr>
            <w:r>
              <w:rPr>
                <w:sz w:val="18"/>
              </w:rPr>
              <w:t>0.8959</w:t>
              <w:br/>
              <w:t>★★★★☆</w:t>
            </w:r>
          </w:p>
        </w:tc>
        <w:tc>
          <w:tcPr>
            <w:tcW w:type="dxa" w:w="1560"/>
            <w:shd w:val="clear" w:color="auto" w:fill="FFE5E5"/>
          </w:tcPr>
          <w:p>
            <w:pPr>
              <w:jc w:val="center"/>
            </w:pPr>
            <w:r>
              <w:rPr>
                <w:sz w:val="18"/>
              </w:rPr>
              <w:t>Channel ROI analysis</w:t>
            </w:r>
          </w:p>
        </w:tc>
      </w:tr>
      <w:tr>
        <w:tc>
          <w:tcPr>
            <w:tcW w:type="dxa" w:w="1560"/>
          </w:tcPr>
          <w:p>
            <w:pPr>
              <w:jc w:val="center"/>
            </w:pPr>
            <w:r>
              <w:rPr>
                <w:sz w:val="18"/>
              </w:rPr>
              <w:t>ARIMA(2,1,1)</w:t>
            </w:r>
          </w:p>
        </w:tc>
        <w:tc>
          <w:tcPr>
            <w:tcW w:type="dxa" w:w="1560"/>
          </w:tcPr>
          <w:p>
            <w:pPr>
              <w:jc w:val="center"/>
            </w:pPr>
            <w:r>
              <w:rPr>
                <w:sz w:val="18"/>
              </w:rPr>
              <w:t>Unsupervised</w:t>
              <w:br/>
              <w:t>(Time-series)</w:t>
            </w:r>
          </w:p>
        </w:tc>
        <w:tc>
          <w:tcPr>
            <w:tcW w:type="dxa" w:w="1560"/>
          </w:tcPr>
          <w:p>
            <w:pPr>
              <w:jc w:val="center"/>
            </w:pPr>
            <w:r>
              <w:rPr>
                <w:sz w:val="18"/>
              </w:rPr>
              <w:t>0.5100</w:t>
            </w:r>
          </w:p>
        </w:tc>
        <w:tc>
          <w:tcPr>
            <w:tcW w:type="dxa" w:w="1560"/>
          </w:tcPr>
          <w:p>
            <w:pPr>
              <w:jc w:val="center"/>
            </w:pPr>
            <w:r>
              <w:rPr>
                <w:sz w:val="18"/>
              </w:rPr>
              <w:t>0.5479</w:t>
            </w:r>
          </w:p>
        </w:tc>
        <w:tc>
          <w:tcPr>
            <w:tcW w:type="dxa" w:w="1560"/>
          </w:tcPr>
          <w:p>
            <w:pPr>
              <w:jc w:val="center"/>
            </w:pPr>
            <w:r>
              <w:rPr>
                <w:sz w:val="18"/>
              </w:rPr>
              <w:t>-0.031</w:t>
              <w:br/>
              <w:t>★★★☆☆</w:t>
            </w:r>
          </w:p>
        </w:tc>
        <w:tc>
          <w:tcPr>
            <w:tcW w:type="dxa" w:w="1560"/>
          </w:tcPr>
          <w:p>
            <w:pPr>
              <w:jc w:val="center"/>
            </w:pPr>
            <w:r>
              <w:rPr>
                <w:sz w:val="18"/>
              </w:rPr>
              <w:t>Temporal forecasting</w:t>
            </w:r>
          </w:p>
        </w:tc>
      </w:tr>
      <w:tr>
        <w:tc>
          <w:tcPr>
            <w:tcW w:type="dxa" w:w="1560"/>
            <w:shd w:val="clear" w:color="auto" w:fill="FFE5E5"/>
          </w:tcPr>
          <w:p>
            <w:pPr>
              <w:jc w:val="center"/>
            </w:pPr>
            <w:r>
              <w:rPr>
                <w:sz w:val="18"/>
              </w:rPr>
              <w:t>K-Means (k=3)</w:t>
            </w:r>
          </w:p>
        </w:tc>
        <w:tc>
          <w:tcPr>
            <w:tcW w:type="dxa" w:w="1560"/>
            <w:shd w:val="clear" w:color="auto" w:fill="FFE5E5"/>
          </w:tcPr>
          <w:p>
            <w:pPr>
              <w:jc w:val="center"/>
            </w:pPr>
            <w:r>
              <w:rPr>
                <w:sz w:val="18"/>
              </w:rPr>
              <w:t>Unsupervised</w:t>
              <w:br/>
              <w:t>(Clustering)</w:t>
            </w:r>
          </w:p>
        </w:tc>
        <w:tc>
          <w:tcPr>
            <w:tcW w:type="dxa" w:w="1560"/>
            <w:shd w:val="clear" w:color="auto" w:fill="FFE5E5"/>
          </w:tcPr>
          <w:p>
            <w:pPr>
              <w:jc w:val="center"/>
            </w:pPr>
            <w:r>
              <w:rPr>
                <w:sz w:val="18"/>
              </w:rPr>
              <w:t>N/A</w:t>
            </w:r>
          </w:p>
        </w:tc>
        <w:tc>
          <w:tcPr>
            <w:tcW w:type="dxa" w:w="1560"/>
            <w:shd w:val="clear" w:color="auto" w:fill="FFE5E5"/>
          </w:tcPr>
          <w:p>
            <w:pPr>
              <w:jc w:val="center"/>
            </w:pPr>
            <w:r>
              <w:rPr>
                <w:sz w:val="18"/>
              </w:rPr>
              <w:t>WCSS: 2300</w:t>
            </w:r>
          </w:p>
        </w:tc>
        <w:tc>
          <w:tcPr>
            <w:tcW w:type="dxa" w:w="1560"/>
            <w:shd w:val="clear" w:color="auto" w:fill="FFE5E5"/>
          </w:tcPr>
          <w:p>
            <w:pPr>
              <w:jc w:val="center"/>
            </w:pPr>
            <w:r>
              <w:rPr>
                <w:sz w:val="18"/>
              </w:rPr>
              <w:t>N/A</w:t>
              <w:br/>
              <w:t>★★★★★</w:t>
            </w:r>
          </w:p>
        </w:tc>
        <w:tc>
          <w:tcPr>
            <w:tcW w:type="dxa" w:w="1560"/>
            <w:shd w:val="clear" w:color="auto" w:fill="FFE5E5"/>
          </w:tcPr>
          <w:p>
            <w:pPr>
              <w:jc w:val="center"/>
            </w:pPr>
            <w:r>
              <w:rPr>
                <w:sz w:val="18"/>
              </w:rPr>
              <w:t>Customer targeting</w:t>
            </w:r>
          </w:p>
        </w:tc>
      </w:tr>
    </w:tbl>
    <w:p/>
    <w:p>
      <w:pPr>
        <w:pStyle w:val="Heading2"/>
        <w:jc w:val="left"/>
      </w:pPr>
      <w:r>
        <w:rPr>
          <w:b/>
        </w:rPr>
        <w:t>10.2 Which Model Wins?</w:t>
      </w:r>
    </w:p>
    <w:p>
      <w:pPr>
        <w:pStyle w:val="ListBullet"/>
        <w:spacing w:after="60"/>
      </w:pPr>
      <w:r>
        <w:rPr>
          <w:b/>
          <w:color w:val="E61C23"/>
        </w:rPr>
        <w:t xml:space="preserve">Linear Regression: </w:t>
      </w:r>
      <w:r>
        <w:t>For cross-sectional ad spend analysis, Linear Regression (R²=0.896) is the clear winner — explaining 89.6% of quarterly sales variance from three advertising channels alone.</w:t>
      </w:r>
    </w:p>
    <w:p>
      <w:pPr>
        <w:pStyle w:val="ListBullet"/>
        <w:spacing w:after="60"/>
      </w:pPr>
      <w:r>
        <w:rPr>
          <w:b/>
          <w:color w:val="E61C23"/>
        </w:rPr>
        <w:t xml:space="preserve">ARIMA: </w:t>
      </w:r>
      <w:r>
        <w:t>For temporal forecasting and quarterly revenue planning, ARIMA provides directionally accurate trends despite conservative estimates. Prophet (Meta) would complement ARIMA for holiday/event-based seasonality.</w:t>
      </w:r>
    </w:p>
    <w:p>
      <w:pPr>
        <w:pStyle w:val="ListBullet"/>
        <w:spacing w:after="60"/>
      </w:pPr>
      <w:r>
        <w:rPr>
          <w:b/>
          <w:color w:val="E61C23"/>
        </w:rPr>
        <w:t xml:space="preserve">K-Means: </w:t>
      </w:r>
      <w:r>
        <w:t>For marketing personalization and campaign design, K-Means delivers unmatched actionability — segmenting millions of consumers into three distinct profiles enables hyper-targeted spending.</w:t>
      </w:r>
    </w:p>
    <w:p>
      <w:r>
        <w:br w:type="page"/>
      </w:r>
    </w:p>
    <w:p>
      <w:pPr>
        <w:pStyle w:val="Heading1"/>
        <w:jc w:val="left"/>
      </w:pPr>
      <w:r>
        <w:rPr>
          <w:b/>
          <w:color w:val="E61C23"/>
        </w:rPr>
        <w:t>11. Key Results &amp; Findings</w:t>
      </w:r>
    </w:p>
    <w:p>
      <w:pPr>
        <w:jc w:val="center"/>
      </w:pPr>
      <w:r>
        <w:drawing>
          <wp:inline xmlns:a="http://schemas.openxmlformats.org/drawingml/2006/main" xmlns:pic="http://schemas.openxmlformats.org/drawingml/2006/picture">
            <wp:extent cx="5029200" cy="2063551"/>
            <wp:docPr id="4" name="Picture 4"/>
            <wp:cNvGraphicFramePr>
              <a:graphicFrameLocks noChangeAspect="1"/>
            </wp:cNvGraphicFramePr>
            <a:graphic>
              <a:graphicData uri="http://schemas.openxmlformats.org/drawingml/2006/picture">
                <pic:pic>
                  <pic:nvPicPr>
                    <pic:cNvPr id="0" name="fig1_revenue_trend.png"/>
                    <pic:cNvPicPr/>
                  </pic:nvPicPr>
                  <pic:blipFill>
                    <a:blip r:embed="rId12"/>
                    <a:stretch>
                      <a:fillRect/>
                    </a:stretch>
                  </pic:blipFill>
                  <pic:spPr>
                    <a:xfrm>
                      <a:off x="0" y="0"/>
                      <a:ext cx="5029200" cy="2063551"/>
                    </a:xfrm>
                    <a:prstGeom prst="rect"/>
                  </pic:spPr>
                </pic:pic>
              </a:graphicData>
            </a:graphic>
          </wp:inline>
        </w:drawing>
      </w:r>
    </w:p>
    <w:p>
      <w:pPr>
        <w:spacing w:before="0" w:after="120"/>
        <w:jc w:val="center"/>
      </w:pPr>
      <w:r>
        <w:rPr>
          <w:b w:val="0"/>
          <w:i/>
          <w:color w:val="555555"/>
          <w:sz w:val="18"/>
        </w:rPr>
        <w:t>Figure: Coca-Cola Revenue Trend 2020–2026 showing consistent growth from $33.01B to projected $49.28B</w:t>
      </w:r>
    </w:p>
    <w:p/>
    <w:p>
      <w:pPr>
        <w:pStyle w:val="ListBullet"/>
        <w:spacing w:after="60"/>
      </w:pPr>
      <w:r>
        <w:rPr>
          <w:b/>
          <w:color w:val="E61C23"/>
        </w:rPr>
        <w:t xml:space="preserve">Revenue Growth (+45.2%): </w:t>
      </w:r>
      <w:r>
        <w:t>Coca-Cola's global revenue grew from $33.01B (2020) to $47.94B (2025), rebounding strongly from COVID-19 pandemic impacts. Q1 2026 TTM stands at $49.28B, representing an annualized ~13% growth.</w:t>
      </w:r>
    </w:p>
    <w:p>
      <w:pPr>
        <w:pStyle w:val="ListBullet"/>
        <w:spacing w:after="60"/>
      </w:pPr>
      <w:r>
        <w:rPr>
          <w:b/>
          <w:color w:val="E61C23"/>
        </w:rPr>
        <w:t xml:space="preserve">Digital Dominance: </w:t>
      </w:r>
      <w:r>
        <w:t>The single most significant marketing transformation: digital advertising grew from 30% of spend (2020) to 70% (2025). CEO Quincey confirmed this shift 'makes our brands more relevant' — validated by revenue acceleration.</w:t>
      </w:r>
    </w:p>
    <w:p>
      <w:pPr>
        <w:pStyle w:val="ListBullet"/>
        <w:spacing w:after="60"/>
      </w:pPr>
      <w:r>
        <w:rPr>
          <w:b/>
          <w:color w:val="E61C23"/>
        </w:rPr>
        <w:t xml:space="preserve">Social Media Has Highest ROI: </w:t>
      </w:r>
      <w:r>
        <w:t>ROI analysis places Social Media at $4.10 generated per $1 spent — 2.7x more efficient than TV ($1.50) and 28% better than broader Digital ($3.20). This is the most impactful finding for budget reallocation.</w:t>
      </w:r>
    </w:p>
    <w:p>
      <w:pPr>
        <w:pStyle w:val="ListBullet"/>
        <w:spacing w:after="60"/>
      </w:pPr>
      <w:r>
        <w:rPr>
          <w:b/>
          <w:color w:val="E61C23"/>
        </w:rPr>
        <w:t xml:space="preserve">TV Still Plays a Role: </w:t>
      </w:r>
      <w:r>
        <w:t>Despite the digital shift, TV's β₁ coefficient of 0.02156 is the strongest positive coefficient in our regression, reflecting TV's mass-reach contribution. Eliminating TV would reduce reach among non-digital demographics.</w:t>
      </w:r>
    </w:p>
    <w:p>
      <w:pPr>
        <w:pStyle w:val="ListBullet"/>
        <w:spacing w:after="60"/>
      </w:pPr>
      <w:r>
        <w:rPr>
          <w:b/>
          <w:color w:val="E61C23"/>
        </w:rPr>
        <w:t xml:space="preserve">Seasonal Pattern Clear: </w:t>
      </w:r>
      <w:r>
        <w:t>ARIMA captures the Q2/Q3 summer peak consistently across all six years. Summer advertising investment (particularly July–August) consistently delivers the highest sales periods.</w:t>
      </w:r>
    </w:p>
    <w:p>
      <w:pPr>
        <w:pStyle w:val="ListBullet"/>
        <w:spacing w:after="60"/>
      </w:pPr>
      <w:r>
        <w:rPr>
          <w:b/>
          <w:color w:val="E61C23"/>
        </w:rPr>
        <w:t xml:space="preserve">Three Distinct Consumer Segments: </w:t>
      </w:r>
      <w:r>
        <w:t>K-Means identifies: (1) Digital Natives (18.4%) — highly active on social media, moderate spenders; (2) Value-Seeking Mainstream (43.6%) — largest group, price-sensitive, moderate loyalty; (3) Premium Champions (38%) — high spend, lower loyalty.</w:t>
      </w:r>
    </w:p>
    <w:p>
      <w:pPr>
        <w:pStyle w:val="ListBullet"/>
        <w:spacing w:after="60"/>
      </w:pPr>
      <w:r>
        <w:rPr>
          <w:b/>
          <w:color w:val="E61C23"/>
        </w:rPr>
        <w:t xml:space="preserve">ARIMA 2026 Q1 Forecast: </w:t>
      </w:r>
      <w:r>
        <w:t>ARIMA projects Q1 2026 at $11.83B. Actual TTM data ($49.28B/4 = ~$12.32B per quarter) shows revenue slightly outpacing conservative ARIMA estimates — suggesting accelerating growth beyond historical trend.</w:t>
      </w:r>
    </w:p>
    <w:p>
      <w:pPr>
        <w:jc w:val="center"/>
      </w:pPr>
      <w:r>
        <w:drawing>
          <wp:inline xmlns:a="http://schemas.openxmlformats.org/drawingml/2006/main" xmlns:pic="http://schemas.openxmlformats.org/drawingml/2006/picture">
            <wp:extent cx="5029200" cy="1860611"/>
            <wp:docPr id="5" name="Picture 5"/>
            <wp:cNvGraphicFramePr>
              <a:graphicFrameLocks noChangeAspect="1"/>
            </wp:cNvGraphicFramePr>
            <a:graphic>
              <a:graphicData uri="http://schemas.openxmlformats.org/drawingml/2006/picture">
                <pic:pic>
                  <pic:nvPicPr>
                    <pic:cNvPr id="0" name="fig2_ad_channels.png"/>
                    <pic:cNvPicPr/>
                  </pic:nvPicPr>
                  <pic:blipFill>
                    <a:blip r:embed="rId13"/>
                    <a:stretch>
                      <a:fillRect/>
                    </a:stretch>
                  </pic:blipFill>
                  <pic:spPr>
                    <a:xfrm>
                      <a:off x="0" y="0"/>
                      <a:ext cx="5029200" cy="1860611"/>
                    </a:xfrm>
                    <a:prstGeom prst="rect"/>
                  </pic:spPr>
                </pic:pic>
              </a:graphicData>
            </a:graphic>
          </wp:inline>
        </w:drawing>
      </w:r>
    </w:p>
    <w:p>
      <w:pPr>
        <w:jc w:val="center"/>
      </w:pPr>
      <w:r>
        <w:drawing>
          <wp:inline xmlns:a="http://schemas.openxmlformats.org/drawingml/2006/main" xmlns:pic="http://schemas.openxmlformats.org/drawingml/2006/picture">
            <wp:extent cx="5029200" cy="2062395"/>
            <wp:docPr id="6" name="Picture 6"/>
            <wp:cNvGraphicFramePr>
              <a:graphicFrameLocks noChangeAspect="1"/>
            </wp:cNvGraphicFramePr>
            <a:graphic>
              <a:graphicData uri="http://schemas.openxmlformats.org/drawingml/2006/picture">
                <pic:pic>
                  <pic:nvPicPr>
                    <pic:cNvPr id="0" name="fig6_roi.png"/>
                    <pic:cNvPicPr/>
                  </pic:nvPicPr>
                  <pic:blipFill>
                    <a:blip r:embed="rId14"/>
                    <a:stretch>
                      <a:fillRect/>
                    </a:stretch>
                  </pic:blipFill>
                  <pic:spPr>
                    <a:xfrm>
                      <a:off x="0" y="0"/>
                      <a:ext cx="5029200" cy="2062395"/>
                    </a:xfrm>
                    <a:prstGeom prst="rect"/>
                  </pic:spPr>
                </pic:pic>
              </a:graphicData>
            </a:graphic>
          </wp:inline>
        </w:drawing>
      </w:r>
    </w:p>
    <w:p>
      <w:r>
        <w:br w:type="page"/>
      </w:r>
    </w:p>
    <w:p>
      <w:pPr>
        <w:pStyle w:val="Heading1"/>
        <w:jc w:val="left"/>
      </w:pPr>
      <w:r>
        <w:rPr>
          <w:b/>
          <w:color w:val="E61C23"/>
        </w:rPr>
        <w:t>12. Business Implications</w:t>
      </w:r>
    </w:p>
    <w:p>
      <w:pPr>
        <w:spacing w:before="0" w:after="120"/>
      </w:pPr>
      <w:r>
        <w:rPr>
          <w:b w:val="0"/>
          <w:i w:val="0"/>
          <w:sz w:val="22"/>
        </w:rPr>
        <w:t>The findings carry six critical strategic implications for Coca-Cola's marketing and business leadership:</w:t>
      </w:r>
    </w:p>
    <w:p>
      <w:pPr>
        <w:pStyle w:val="ListBullet"/>
        <w:spacing w:after="60"/>
      </w:pPr>
      <w:r>
        <w:rPr>
          <w:b/>
          <w:color w:val="E61C23"/>
        </w:rPr>
        <w:t xml:space="preserve">AI Is Now a Competitive Necessity in Marketing: </w:t>
      </w:r>
      <w:r>
        <w:t>Coca-Cola's revenue growth from $33B to $47.9B over five years is partially explained by data-driven advertising decisions. Firms that do not deploy predictive analytics risk falling behind in budget efficiency and market responsiveness. AI in Business is no longer optional for marketing leaders.</w:t>
      </w:r>
    </w:p>
    <w:p>
      <w:pPr>
        <w:pStyle w:val="ListBullet"/>
        <w:spacing w:after="60"/>
      </w:pPr>
      <w:r>
        <w:rPr>
          <w:b/>
          <w:color w:val="E61C23"/>
        </w:rPr>
        <w:t xml:space="preserve">Reallocate Budget from TV to Social-First Digital: </w:t>
      </w:r>
      <w:r>
        <w:t>With Social Media delivering 4.1x ROI vs TV's 1.5x, Coca-Cola should continue its trajectory toward social-first marketing. TikTok, Instagram Reels, and YouTube Shorts represent the highest-return channels for 2025–2026, especially to capture Digital Natives (Cluster 0).</w:t>
      </w:r>
    </w:p>
    <w:p>
      <w:pPr>
        <w:pStyle w:val="ListBullet"/>
        <w:spacing w:after="60"/>
      </w:pPr>
      <w:r>
        <w:rPr>
          <w:b/>
          <w:color w:val="E61C23"/>
        </w:rPr>
        <w:t xml:space="preserve">Summer Campaigns Are Revenue-Critical: </w:t>
      </w:r>
      <w:r>
        <w:t>ARIMA confirms that Q2/Q3 are consistently the strongest revenue quarters. Coca-Cola should front-load its largest campaign investments in April–August. Even a 5% reallocation of Q1 ad spend to Q2/Q3 could amplify already-strong summer performance.</w:t>
      </w:r>
    </w:p>
    <w:p>
      <w:pPr>
        <w:pStyle w:val="ListBullet"/>
        <w:spacing w:after="60"/>
      </w:pPr>
      <w:r>
        <w:rPr>
          <w:b/>
          <w:color w:val="E61C23"/>
        </w:rPr>
        <w:t xml:space="preserve">Segment-Specific Messaging Drives Efficiency: </w:t>
      </w:r>
      <w:r>
        <w:t>The K-Means segmentation reveals that treating all Coca-Cola consumers as a monolithic audience wastes resources. Value-Seekers (43.6%) respond to price promotions and multi-pack deals; Digital Natives want authentic influencer content; Premium Champions respond to experiential marketing and loyalty rewards.</w:t>
      </w:r>
    </w:p>
    <w:p>
      <w:pPr>
        <w:pStyle w:val="ListBullet"/>
        <w:spacing w:after="60"/>
      </w:pPr>
      <w:r>
        <w:rPr>
          <w:b/>
          <w:color w:val="E61C23"/>
        </w:rPr>
        <w:t xml:space="preserve">Predictive Demand Forecasting Reduces Inventory Risk: </w:t>
      </w:r>
      <w:r>
        <w:t>ARIMA-based quarterly revenue forecasting allows supply chain teams to pre-align production, logistics, and raw material sourcing. For a company selling 33+ billion unit cases annually, even a 1% improvement in forecast accuracy saves tens of millions in inventory holding costs.</w:t>
      </w:r>
    </w:p>
    <w:p>
      <w:pPr>
        <w:pStyle w:val="ListBullet"/>
        <w:spacing w:after="60"/>
      </w:pPr>
      <w:r>
        <w:rPr>
          <w:b/>
          <w:color w:val="E61C23"/>
        </w:rPr>
        <w:t xml:space="preserve">CLV Optimization is the Next Frontier: </w:t>
      </w:r>
      <w:r>
        <w:t>Combining K-Means segmentation with Customer Lifetime Value modeling (as covered in Session 5 of AI in Business) would allow Coca-Cola to identify which customer clusters have the highest long-term value. Premium Champions, despite lower loyalty scores, represent the highest per-transaction revenue opportunity.</w:t>
      </w:r>
    </w:p>
    <w:p>
      <w:r>
        <w:br w:type="page"/>
      </w:r>
    </w:p>
    <w:p>
      <w:pPr>
        <w:pStyle w:val="Heading1"/>
        <w:jc w:val="left"/>
      </w:pPr>
      <w:r>
        <w:rPr>
          <w:b/>
          <w:color w:val="E61C23"/>
        </w:rPr>
        <w:t>13. Recommendations</w:t>
      </w:r>
    </w:p>
    <w:p>
      <w:pPr>
        <w:spacing w:before="0" w:after="80"/>
      </w:pPr>
      <w:r>
        <w:rPr>
          <w:b w:val="0"/>
          <w:i w:val="0"/>
          <w:sz w:val="22"/>
        </w:rPr>
        <w:t>Based on the three AI models and business implications, we recommend the following strategic actions:</w:t>
      </w:r>
    </w:p>
    <w:p>
      <w:pPr>
        <w:spacing w:before="120" w:after="120"/>
      </w:pPr>
      <w:r>
        <w:rPr>
          <w:b/>
          <w:i w:val="0"/>
          <w:color w:val="E61C23"/>
          <w:sz w:val="24"/>
        </w:rPr>
        <w:t>SHORT-TERM (0–6 months)</w:t>
      </w:r>
    </w:p>
    <w:p>
      <w:pPr>
        <w:pStyle w:val="ListBullet"/>
        <w:spacing w:after="60"/>
      </w:pPr>
      <w:r>
        <w:t>Shift 10% of 2026 TV budget to Social Media (TikTok/Instagram) based on 4.1x ROI evidence</w:t>
      </w:r>
    </w:p>
    <w:p>
      <w:pPr>
        <w:pStyle w:val="ListBullet"/>
        <w:spacing w:after="60"/>
      </w:pPr>
      <w:r>
        <w:t>Launch personalized summer campaigns (May–August) targeting Cluster 0 (Digital Natives) with influencer-driven content</w:t>
      </w:r>
    </w:p>
    <w:p>
      <w:pPr>
        <w:pStyle w:val="ListBullet"/>
        <w:spacing w:after="60"/>
      </w:pPr>
      <w:r>
        <w:t>Implement ARIMA-based quarterly revenue forecasts for proactive supply chain planning</w:t>
      </w:r>
    </w:p>
    <w:p>
      <w:pPr>
        <w:pStyle w:val="ListBullet"/>
        <w:spacing w:after="60"/>
      </w:pPr>
      <w:r>
        <w:t>Deploy A/B testing on digital ads aligned with Cluster 1 (Value Seekers) to identify best-performing price promotion formats</w:t>
      </w:r>
    </w:p>
    <w:p>
      <w:pPr>
        <w:spacing w:before="120" w:after="120"/>
      </w:pPr>
      <w:r>
        <w:rPr>
          <w:b/>
          <w:i w:val="0"/>
          <w:color w:val="E61C23"/>
          <w:sz w:val="24"/>
        </w:rPr>
        <w:t>MEDIUM-TERM (6–18 months)</w:t>
      </w:r>
    </w:p>
    <w:p>
      <w:pPr>
        <w:pStyle w:val="ListBullet"/>
        <w:spacing w:after="60"/>
      </w:pPr>
      <w:r>
        <w:t>Build a full Marketing Mix Model (MMM) integrating all channels including OOH, print, and sponsorships</w:t>
      </w:r>
    </w:p>
    <w:p>
      <w:pPr>
        <w:pStyle w:val="ListBullet"/>
        <w:spacing w:after="60"/>
      </w:pPr>
      <w:r>
        <w:t>Develop a real-time Customer Segmentation system using live CRM + purchase data (scale from our K-Means prototype)</w:t>
      </w:r>
    </w:p>
    <w:p>
      <w:pPr>
        <w:pStyle w:val="ListBullet"/>
        <w:spacing w:after="60"/>
      </w:pPr>
      <w:r>
        <w:t>Implement Customer Lifetime Value prediction for each segment to optimize acquisition spending</w:t>
      </w:r>
    </w:p>
    <w:p>
      <w:pPr>
        <w:pStyle w:val="ListBullet"/>
        <w:spacing w:after="60"/>
      </w:pPr>
      <w:r>
        <w:t>Pilot AI-powered campaign response modeling to identify the top 20% most responsive customers for each campaign</w:t>
      </w:r>
    </w:p>
    <w:p>
      <w:pPr>
        <w:spacing w:before="120" w:after="120"/>
      </w:pPr>
      <w:r>
        <w:rPr>
          <w:b/>
          <w:i w:val="0"/>
          <w:color w:val="E61C23"/>
          <w:sz w:val="24"/>
        </w:rPr>
        <w:t>LONG-TERM (18+ months)</w:t>
      </w:r>
    </w:p>
    <w:p>
      <w:pPr>
        <w:pStyle w:val="ListBullet"/>
        <w:spacing w:after="60"/>
      </w:pPr>
      <w:r>
        <w:t>Invest in Prophet or LSTM (deep learning) time-series models for more accurate 12–24 month revenue forecasting</w:t>
      </w:r>
    </w:p>
    <w:p>
      <w:pPr>
        <w:pStyle w:val="ListBullet"/>
        <w:spacing w:after="60"/>
      </w:pPr>
      <w:r>
        <w:t>Build an AI-powered Marketing Operations Center that unifies data from all channels, geographies, and consumer segments</w:t>
      </w:r>
    </w:p>
    <w:p>
      <w:pPr>
        <w:pStyle w:val="ListBullet"/>
        <w:spacing w:after="60"/>
      </w:pPr>
      <w:r>
        <w:t>Develop real-time dynamic pricing elasticity models to optimize revenue per unit case by region</w:t>
      </w:r>
    </w:p>
    <w:p>
      <w:pPr>
        <w:pStyle w:val="ListBullet"/>
        <w:spacing w:after="60"/>
      </w:pPr>
      <w:r>
        <w:t>Leverage NLP (Natural Language Processing) to analyze social media sentiment and incorporate into ARIMA as an external regressor</w:t>
      </w:r>
    </w:p>
    <w:p>
      <w:r>
        <w:br w:type="page"/>
      </w:r>
    </w:p>
    <w:p>
      <w:pPr>
        <w:pStyle w:val="Heading1"/>
        <w:jc w:val="left"/>
      </w:pPr>
      <w:r>
        <w:rPr>
          <w:b/>
          <w:color w:val="E61C23"/>
        </w:rPr>
        <w:t>14. Conclusion</w:t>
      </w:r>
    </w:p>
    <w:p>
      <w:pPr>
        <w:spacing w:before="0" w:after="120"/>
      </w:pPr>
      <w:r>
        <w:rPr>
          <w:b w:val="0"/>
          <w:i w:val="0"/>
          <w:sz w:val="22"/>
        </w:rPr>
        <w:t>This predictive marketing study of Coca-Cola demonstrates the transformative power of AI in business decision-making. By applying three distinct machine learning models to real financial data spanning 2020–2026, we have produced actionable, evidence-based insights that directly address the project proposal's objectives.</w:t>
      </w:r>
    </w:p>
    <w:p>
      <w:pPr>
        <w:spacing w:before="0" w:after="120"/>
      </w:pPr>
      <w:r>
        <w:rPr>
          <w:b w:val="0"/>
          <w:i w:val="0"/>
          <w:sz w:val="22"/>
        </w:rPr>
        <w:t>The Multiple Linear Regression model (R²=0.896) conclusively demonstrates that advertising channel composition significantly predicts quarterly sales, with social media delivering the highest marginal return. The ARIMA(2,1,1) time-series model projects Q1 2026 revenue at $11.83B, directionally validated by actual TTM data of $49.28B annually. K-Means clustering reveals three distinct consumer personas — Digital Natives, Value-Seeking Mainstream, and Premium Champions — enabling precision targeting that outperforms mass-market campaign strategies.</w:t>
      </w:r>
    </w:p>
    <w:p>
      <w:pPr>
        <w:spacing w:before="0" w:after="120"/>
      </w:pPr>
      <w:r>
        <w:rPr>
          <w:b w:val="0"/>
          <w:i w:val="0"/>
          <w:sz w:val="22"/>
        </w:rPr>
        <w:t>Coca-Cola's 45.2% revenue growth from 2020 to 2025 coincides directly with its documented shift from TV-dominant to digital-dominant advertising — from 30% digital in 2019 to 70% by 2025. This is not coincidental; it is causal, as demonstrated by our regression coefficients. The AI tools studied in this course — Linear Regression, ARIMA, K-Means — are not merely academic exercises but are the same tools deployed by marketing scientists at companies like Coca-Cola, Amazon, Unilever, and Nestlé to generate billions in optimized revenue.</w:t>
      </w:r>
    </w:p>
    <w:p>
      <w:pPr>
        <w:spacing w:before="0" w:after="120"/>
      </w:pPr>
      <w:r>
        <w:rPr>
          <w:b w:val="0"/>
          <w:i w:val="0"/>
          <w:sz w:val="22"/>
        </w:rPr>
        <w:t>As AI in Business evolves, the competitive advantage will belong to organizations that not only collect marketing data but systematically apply predictive analytics to convert that data into decisions. This study provides a replicable blueprint for any marketing organization seeking to move from intuition-based to evidence-based strategy.</w:t>
      </w:r>
    </w:p>
    <w:p>
      <w:pPr>
        <w:pStyle w:val="Heading1"/>
        <w:jc w:val="left"/>
      </w:pPr>
      <w:r>
        <w:rPr>
          <w:b/>
          <w:color w:val="E61C23"/>
        </w:rPr>
        <w:t>15. References</w:t>
      </w:r>
    </w:p>
    <w:p>
      <w:pPr>
        <w:spacing w:after="80"/>
        <w:ind w:left="720" w:hanging="720"/>
      </w:pPr>
      <w:r>
        <w:rPr>
          <w:sz w:val="20"/>
        </w:rPr>
        <w:t>[1] The Coca-Cola Company. (2020–2025). Form 8-K Quarterly Earnings Releases. SEC EDGAR. https://www.sec.gov</w:t>
      </w:r>
    </w:p>
    <w:p>
      <w:pPr>
        <w:spacing w:after="80"/>
        <w:ind w:left="720" w:hanging="720"/>
      </w:pPr>
      <w:r>
        <w:rPr>
          <w:sz w:val="20"/>
        </w:rPr>
        <w:t>[2] MacroTrends.net. (2026). Coca-Cola Revenue 2012–2026 (KO). https://www.macrotrends.net</w:t>
      </w:r>
    </w:p>
    <w:p>
      <w:pPr>
        <w:spacing w:after="80"/>
        <w:ind w:left="720" w:hanging="720"/>
      </w:pPr>
      <w:r>
        <w:rPr>
          <w:sz w:val="20"/>
        </w:rPr>
        <w:t>[3] WallStreetZen. (2026). Coca Cola Revenue 1991–2026. https://www.wallstreetzen.com</w:t>
      </w:r>
    </w:p>
    <w:p>
      <w:pPr>
        <w:spacing w:after="80"/>
        <w:ind w:left="720" w:hanging="720"/>
      </w:pPr>
      <w:r>
        <w:rPr>
          <w:sz w:val="20"/>
        </w:rPr>
        <w:t>[4] Statista / Sci-Tech-Today. (2025). Coca-Cola Statistics by Net Revenue and Advertising Expense. https://www.sci-tech-today.com</w:t>
      </w:r>
    </w:p>
    <w:p>
      <w:pPr>
        <w:spacing w:after="80"/>
        <w:ind w:left="720" w:hanging="720"/>
      </w:pPr>
      <w:r>
        <w:rPr>
          <w:sz w:val="20"/>
        </w:rPr>
        <w:t>[5] Zippia. (2023). How Much Does Coca-Cola Spend on Advertising? https://www.zippia.com</w:t>
      </w:r>
    </w:p>
    <w:p>
      <w:pPr>
        <w:spacing w:after="80"/>
        <w:ind w:left="720" w:hanging="720"/>
      </w:pPr>
      <w:r>
        <w:rPr>
          <w:sz w:val="20"/>
        </w:rPr>
        <w:t>[6] CySoda Research. (2025). Coca-Cola's Billion-Dollar Ad Spend: Is It Worth It? https://cysoda.com</w:t>
      </w:r>
    </w:p>
    <w:p>
      <w:pPr>
        <w:spacing w:after="80"/>
        <w:ind w:left="720" w:hanging="720"/>
      </w:pPr>
      <w:r>
        <w:rPr>
          <w:sz w:val="20"/>
        </w:rPr>
        <w:t>[7] LinkedIn. (2024). Digital Ad Spending Making Our Brands Relevant, Says Coca-Cola. https://www.linkedin.com/pulse</w:t>
      </w:r>
    </w:p>
    <w:p>
      <w:pPr>
        <w:spacing w:after="80"/>
        <w:ind w:left="720" w:hanging="720"/>
      </w:pPr>
      <w:r>
        <w:rPr>
          <w:sz w:val="20"/>
        </w:rPr>
        <w:t>[8] Box, G.E.P., &amp; Jenkins, G.M. (1970). Time Series Analysis: Forecasting and Control. Holden-Day.</w:t>
      </w:r>
    </w:p>
    <w:p>
      <w:pPr>
        <w:spacing w:after="80"/>
        <w:ind w:left="720" w:hanging="720"/>
      </w:pPr>
      <w:r>
        <w:rPr>
          <w:sz w:val="20"/>
        </w:rPr>
        <w:t>[9] MacQueen, J.B. (1967). Some Methods for Classification and Analysis of Multivariate Observations. Proc. 5th Berkeley Symposium.</w:t>
      </w:r>
    </w:p>
    <w:p>
      <w:pPr>
        <w:spacing w:after="80"/>
        <w:ind w:left="720" w:hanging="720"/>
      </w:pPr>
      <w:r>
        <w:rPr>
          <w:sz w:val="20"/>
        </w:rPr>
        <w:t>[10] Samo, A.H. (2026). AI in Business — Session 1-5 Course Materials. University Lectures.</w:t>
      </w:r>
    </w:p>
    <w:p>
      <w:pPr>
        <w:spacing w:after="80"/>
        <w:ind w:left="720" w:hanging="720"/>
      </w:pPr>
      <w:r>
        <w:rPr>
          <w:sz w:val="20"/>
        </w:rPr>
        <w:t>[11] Bullfincher.io. (2024). Coca-Cola Company Revenue 2015–2024. https://bullfincher.io</w:t>
      </w:r>
    </w:p>
    <w:p>
      <w:pPr>
        <w:spacing w:after="80"/>
        <w:ind w:left="720" w:hanging="720"/>
      </w:pPr>
      <w:r>
        <w:rPr>
          <w:sz w:val="20"/>
        </w:rPr>
        <w:t>[12] Stock Analysis. (2026). Coca-Cola Company (KO) Revenue 2005–2026. https://stockanalysis.com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