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367"/>
        <w:gridCol w:w="931"/>
        <w:gridCol w:w="924"/>
        <w:gridCol w:w="898"/>
        <w:gridCol w:w="601"/>
        <w:gridCol w:w="1292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8"/>
            <w:tcBorders>
              <w:top w:val="single" w:color="C00000" w:sz="8" w:space="0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Table S1. Datasets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  <w:t>umber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  <w:t>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</w:rPr>
              <w:t>epth of burial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  <w:t>/m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C00000"/>
                <w:sz w:val="24"/>
                <w:szCs w:val="24"/>
              </w:rPr>
              <w:t>σ</w:t>
            </w:r>
            <w:r>
              <w:rPr>
                <w:rFonts w:hint="default" w:ascii="Times New Roman" w:hAnsi="Times New Roman" w:cs="Times New Roman"/>
                <w:i/>
                <w:iCs/>
                <w:color w:val="C00000"/>
                <w:sz w:val="24"/>
                <w:szCs w:val="24"/>
                <w:vertAlign w:val="subscript"/>
              </w:rPr>
              <w:t>θ</w:t>
            </w: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</w:rPr>
              <w:t>/MPa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σ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/MPa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σ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/MPa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W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C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et</w:t>
            </w:r>
          </w:p>
        </w:tc>
        <w:tc>
          <w:tcPr>
            <w:tcW w:w="0" w:type="auto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C00000"/>
                <w:sz w:val="24"/>
                <w:szCs w:val="24"/>
                <w:u w:val="none"/>
                <w:vertAlign w:val="baseline"/>
              </w:rPr>
              <w:t>trength class</w:t>
            </w:r>
          </w:p>
        </w:tc>
        <w:tc>
          <w:tcPr>
            <w:tcW w:w="1506" w:type="dxa"/>
            <w:tcBorders>
              <w:top w:val="single" w:color="C00000" w:sz="8" w:space="0"/>
              <w:left w:val="nil"/>
              <w:bottom w:val="single" w:color="C00000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C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</w:rPr>
              <w:t>Collection 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88.7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0" w:type="auto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restart"/>
            <w:tcBorders>
              <w:top w:val="single" w:color="C00000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Afraei </w:t>
            </w:r>
          </w:p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Zhou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Feng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Strong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XIAO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Jiang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85.09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Zhang </w:t>
            </w:r>
          </w:p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106.31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None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Light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B0F0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Zhou et al.</w:t>
            </w:r>
            <w:r>
              <w:rPr>
                <w:rFonts w:hint="eastAsia"/>
                <w:color w:val="00B0F0"/>
                <w:vertAlign w:val="superscript"/>
                <w:lang w:val="en-US" w:eastAsia="zh-CN"/>
              </w:rPr>
              <w:t>50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147.2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7.18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hAnsi="Cambria Math" w:cstheme="minorEastAsia"/>
                <w:bCs w:val="0"/>
                <w:i w:val="0"/>
                <w:sz w:val="24"/>
                <w:szCs w:val="24"/>
                <w:lang w:val="en-US" w:eastAsia="zh-CN"/>
              </w:rPr>
              <w:t>Moderate</w:t>
            </w:r>
          </w:p>
        </w:tc>
        <w:tc>
          <w:tcPr>
            <w:tcW w:w="1506" w:type="dxa"/>
            <w:vMerge w:val="continue"/>
            <w:tcBorders>
              <w:top w:val="nil"/>
              <w:left w:val="nil"/>
              <w:bottom w:val="single" w:color="C00000" w:sz="8" w:space="0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mMDNlYWYxZmMyZTY0OWFjMTU2ZjE3MmQ4ZmU1MDYifQ=="/>
  </w:docVars>
  <w:rsids>
    <w:rsidRoot w:val="00000000"/>
    <w:rsid w:val="03600441"/>
    <w:rsid w:val="094A1BAC"/>
    <w:rsid w:val="0C0D6CFB"/>
    <w:rsid w:val="45A55DFD"/>
    <w:rsid w:val="59FB5D23"/>
    <w:rsid w:val="74750CFB"/>
    <w:rsid w:val="7E0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图后小表体"/>
    <w:basedOn w:val="1"/>
    <w:uiPriority w:val="0"/>
    <w:pPr>
      <w:ind w:firstLine="151" w:firstLineChars="63"/>
      <w:jc w:val="left"/>
    </w:pPr>
    <w:rPr>
      <w:rFonts w:hint="eastAsia"/>
    </w:rPr>
  </w:style>
  <w:style w:type="paragraph" w:customStyle="1" w:styleId="7">
    <w:name w:val="中国安全"/>
    <w:basedOn w:val="2"/>
    <w:next w:val="1"/>
    <w:uiPriority w:val="0"/>
    <w:pPr>
      <w:keepNext/>
      <w:keepLines/>
      <w:spacing w:before="260" w:after="260" w:line="416" w:lineRule="auto"/>
      <w:jc w:val="left"/>
      <w:outlineLvl w:val="2"/>
    </w:pPr>
    <w:rPr>
      <w:rFonts w:hint="eastAsia" w:ascii="Arial" w:hAnsi="Arial" w:eastAsiaTheme="minorEastAsia" w:cstheme="min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743</Words>
  <Characters>2033</Characters>
  <Lines>0</Lines>
  <Paragraphs>0</Paragraphs>
  <TotalTime>3</TotalTime>
  <ScaleCrop>false</ScaleCrop>
  <LinksUpToDate>false</LinksUpToDate>
  <CharactersWithSpaces>2061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2023-06-25T01:01:00Z</dcterms:created>
  <dc:creator>lenovo</dc:creator>
  <cp:lastModifiedBy>迷途</cp:lastModifiedBy>
  <dcterms:modified xsi:type="dcterms:W3CDTF">2024-04-30T01:39:17Z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281B217729BA49A1BCAEC3C152721B27_12</vt:lpwstr>
  </property>
</Properties>
</file>