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65" w:type="dxa"/>
        <w:shd w:val="clear" w:color="auto" w:fill="FFFFFF"/>
        <w:tblCellMar>
          <w:top w:w="15" w:type="dxa"/>
          <w:left w:w="15" w:type="dxa"/>
          <w:bottom w:w="15" w:type="dxa"/>
          <w:right w:w="15" w:type="dxa"/>
        </w:tblCellMar>
        <w:tblLook w:val="04A0" w:firstRow="1" w:lastRow="0" w:firstColumn="1" w:lastColumn="0" w:noHBand="0" w:noVBand="1"/>
      </w:tblPr>
      <w:tblGrid>
        <w:gridCol w:w="9165"/>
      </w:tblGrid>
      <w:tr w:rsidR="006F1060" w:rsidRPr="006F1060" w:rsidTr="006F1060">
        <w:tc>
          <w:tcPr>
            <w:tcW w:w="0" w:type="auto"/>
            <w:tcBorders>
              <w:top w:val="single" w:sz="6" w:space="0" w:color="C7C7C7"/>
              <w:left w:val="single" w:sz="6" w:space="0" w:color="C7C7C7"/>
              <w:bottom w:val="single" w:sz="6" w:space="0" w:color="C7C7C7"/>
              <w:right w:val="single" w:sz="6" w:space="0" w:color="C7C7C7"/>
            </w:tcBorders>
            <w:shd w:val="clear" w:color="auto" w:fill="FFFFFF"/>
            <w:tcMar>
              <w:top w:w="105" w:type="dxa"/>
              <w:left w:w="225" w:type="dxa"/>
              <w:bottom w:w="135" w:type="dxa"/>
              <w:right w:w="225" w:type="dxa"/>
            </w:tcMar>
            <w:vAlign w:val="center"/>
            <w:hideMark/>
          </w:tcPr>
          <w:p w:rsidR="006F1060" w:rsidRPr="006F1060" w:rsidRDefault="006F1060" w:rsidP="006F1060">
            <w:pPr>
              <w:bidi/>
              <w:spacing w:before="300" w:after="150" w:line="270" w:lineRule="atLeast"/>
              <w:jc w:val="both"/>
              <w:outlineLvl w:val="1"/>
              <w:rPr>
                <w:rFonts w:ascii="IRANSans" w:hAnsi="IRANSans" w:cs="B Nazanin"/>
                <w:b/>
                <w:bCs/>
                <w:color w:val="FF0000"/>
                <w:sz w:val="24"/>
                <w:szCs w:val="24"/>
                <w:shd w:val="clear" w:color="auto" w:fill="FFFFFF"/>
              </w:rPr>
            </w:pPr>
            <w:r w:rsidRPr="006F1060">
              <w:rPr>
                <w:rFonts w:ascii="IRANSans" w:hAnsi="IRANSans" w:cs="B Nazanin"/>
                <w:b/>
                <w:bCs/>
                <w:color w:val="FF0000"/>
                <w:sz w:val="24"/>
                <w:szCs w:val="24"/>
                <w:shd w:val="clear" w:color="auto" w:fill="FFFFFF"/>
                <w:rtl/>
              </w:rPr>
              <w:t>روندهای آتی امنیت در رایانش ابری: یک مطالعه گسترده</w:t>
            </w:r>
          </w:p>
        </w:tc>
      </w:tr>
      <w:tr w:rsidR="006F1060" w:rsidRPr="006F1060" w:rsidTr="006F1060">
        <w:tc>
          <w:tcPr>
            <w:tcW w:w="0" w:type="auto"/>
            <w:shd w:val="clear" w:color="auto" w:fill="F3F3F2"/>
            <w:vAlign w:val="center"/>
            <w:hideMark/>
          </w:tcPr>
          <w:p w:rsidR="006F1060" w:rsidRPr="006F1060" w:rsidRDefault="006F1060" w:rsidP="006F1060">
            <w:pPr>
              <w:spacing w:after="0" w:line="240" w:lineRule="auto"/>
              <w:rPr>
                <w:rFonts w:ascii="inherit" w:eastAsia="Times New Roman" w:hAnsi="inherit" w:cs="Times New Roman"/>
                <w:b/>
                <w:bCs/>
                <w:color w:val="3E3E3E"/>
                <w:sz w:val="18"/>
                <w:szCs w:val="18"/>
              </w:rPr>
            </w:pPr>
          </w:p>
        </w:tc>
      </w:tr>
    </w:tbl>
    <w:p w:rsidR="006F1060" w:rsidRDefault="006F1060" w:rsidP="006F1060">
      <w:pPr>
        <w:bidi/>
        <w:spacing w:line="360" w:lineRule="auto"/>
        <w:rPr>
          <w:rFonts w:ascii="IRANSans" w:hAnsi="IRANSans" w:cs="B Nazanin"/>
          <w:color w:val="3E3E3E"/>
          <w:sz w:val="24"/>
          <w:szCs w:val="24"/>
          <w:shd w:val="clear" w:color="auto" w:fill="FFFFFF"/>
        </w:rPr>
      </w:pPr>
    </w:p>
    <w:p w:rsidR="00BE6024" w:rsidRDefault="006F1060" w:rsidP="006F1060">
      <w:pPr>
        <w:bidi/>
        <w:spacing w:line="360" w:lineRule="auto"/>
        <w:rPr>
          <w:rFonts w:ascii="IRANSans" w:hAnsi="IRANSans" w:cs="B Nazanin"/>
          <w:color w:val="3E3E3E"/>
          <w:sz w:val="24"/>
          <w:szCs w:val="24"/>
          <w:shd w:val="clear" w:color="auto" w:fill="FFFFFF"/>
        </w:rPr>
      </w:pPr>
      <w:r w:rsidRPr="006F1060">
        <w:rPr>
          <w:rFonts w:ascii="IRANSans" w:hAnsi="IRANSans" w:cs="B Nazanin"/>
          <w:color w:val="3E3E3E"/>
          <w:sz w:val="24"/>
          <w:szCs w:val="24"/>
          <w:shd w:val="clear" w:color="auto" w:fill="FFFFFF"/>
          <w:rtl/>
        </w:rPr>
        <w:t>نتیجه گیری و کارهای آتی: متدهای مختلفی در آینده برای گمنام کردن داده ها در ابر از سال 2015 تا 2017 بررسی خواهد شد. انتشار میکروداده ها از قبیل داده های سرشماری یا بیماران برای تحقیقات گسترده و دیگر اهداف، حوزه مهمی است که توسط آژانس های دولتی و دیگر تشکلات اجتماعی روی آن تمرکز شده است. روش های سنتی که در مقالات آورده شده اند، روش حذف فیلدهای تشخیصی یکتا مانند شماره امنیت اجتماعی از میکروداده را پیشنهاد می کنند که هنوز افشای اطلاعات حساس می شود، الگوریتم بهینه سازی گمنامسازی</w:t>
      </w:r>
      <w:r w:rsidRPr="006F1060">
        <w:rPr>
          <w:rFonts w:ascii="IRANSans" w:hAnsi="IRANSans" w:cs="B Nazanin"/>
          <w:color w:val="3E3E3E"/>
          <w:sz w:val="24"/>
          <w:szCs w:val="24"/>
          <w:shd w:val="clear" w:color="auto" w:fill="FFFFFF"/>
        </w:rPr>
        <w:t xml:space="preserve"> K </w:t>
      </w:r>
      <w:r w:rsidRPr="006F1060">
        <w:rPr>
          <w:rFonts w:ascii="IRANSans" w:hAnsi="IRANSans" w:cs="B Nazanin"/>
          <w:color w:val="3E3E3E"/>
          <w:sz w:val="24"/>
          <w:szCs w:val="24"/>
          <w:shd w:val="clear" w:color="auto" w:fill="FFFFFF"/>
          <w:rtl/>
        </w:rPr>
        <w:t>از نوع</w:t>
      </w:r>
      <w:r w:rsidRPr="006F1060">
        <w:rPr>
          <w:rFonts w:ascii="IRANSans" w:hAnsi="IRANSans" w:cs="B Nazanin"/>
          <w:color w:val="3E3E3E"/>
          <w:sz w:val="24"/>
          <w:szCs w:val="24"/>
          <w:shd w:val="clear" w:color="auto" w:fill="FFFFFF"/>
        </w:rPr>
        <w:t xml:space="preserve"> NP </w:t>
      </w:r>
      <w:r w:rsidRPr="006F1060">
        <w:rPr>
          <w:rFonts w:ascii="IRANSans" w:hAnsi="IRANSans" w:cs="B Nazanin"/>
          <w:color w:val="3E3E3E"/>
          <w:sz w:val="24"/>
          <w:szCs w:val="24"/>
          <w:shd w:val="clear" w:color="auto" w:fill="FFFFFF"/>
          <w:rtl/>
        </w:rPr>
        <w:t>سخت است. به این ترتیب موج</w:t>
      </w:r>
      <w:bookmarkStart w:id="0" w:name="_GoBack"/>
      <w:bookmarkEnd w:id="0"/>
      <w:r w:rsidRPr="006F1060">
        <w:rPr>
          <w:rFonts w:ascii="IRANSans" w:hAnsi="IRANSans" w:cs="B Nazanin"/>
          <w:color w:val="3E3E3E"/>
          <w:sz w:val="24"/>
          <w:szCs w:val="24"/>
          <w:shd w:val="clear" w:color="auto" w:fill="FFFFFF"/>
          <w:rtl/>
        </w:rPr>
        <w:t>ب چالش های محاسباتی زیادی می شود. گمنامسازی</w:t>
      </w:r>
      <w:r w:rsidRPr="006F1060">
        <w:rPr>
          <w:rFonts w:ascii="IRANSans" w:hAnsi="IRANSans" w:cs="B Nazanin"/>
          <w:color w:val="3E3E3E"/>
          <w:sz w:val="24"/>
          <w:szCs w:val="24"/>
          <w:shd w:val="clear" w:color="auto" w:fill="FFFFFF"/>
        </w:rPr>
        <w:t xml:space="preserve"> K </w:t>
      </w:r>
      <w:r w:rsidRPr="006F1060">
        <w:rPr>
          <w:rFonts w:ascii="IRANSans" w:hAnsi="IRANSans" w:cs="B Nazanin"/>
          <w:color w:val="3E3E3E"/>
          <w:sz w:val="24"/>
          <w:szCs w:val="24"/>
          <w:shd w:val="clear" w:color="auto" w:fill="FFFFFF"/>
          <w:rtl/>
        </w:rPr>
        <w:t>با مسئله حمله یکنواختی و حمله زمینه دانش مواجه است. مفهوم تنوع که در مستندات گذشته پیشنهاد شده است ، برای بررسی این موضوع و نیز بررسی محدودیت هاست چرا که در جلوگیری از حملات افشای نسبت ها (حمله چولگی و حمله تشابه)، بدست آوردن آن سخت است و ممکن است حفاظت کافی از حریم شخصی را در برابر صفات حساس در کلاس مربوطه و با تکنیک های خاص محدودیت گذاری مانند نمونه گیری گردکردن سرکوب سلول و مبادله داده نتواند بدست آورد. ارزیابی تکنیک های بینام سازی داده و تکنیک های جلوگیری از افشا داده با جزییات بحث شده اند. کاربرد تکنیک های بینام سازی داده برای طیف های خاصی از داده ها مانند داده های طراحی ، بیان شده است. این خلاصه ، جهت های تحقیقاتی خاصی را در حوزه بی نام سازی پایگاه داده پیشنهاد می کند</w:t>
      </w:r>
      <w:r w:rsidRPr="006F1060">
        <w:rPr>
          <w:rFonts w:ascii="IRANSans" w:hAnsi="IRANSans" w:cs="B Nazanin"/>
          <w:color w:val="3E3E3E"/>
          <w:sz w:val="24"/>
          <w:szCs w:val="24"/>
          <w:shd w:val="clear" w:color="auto" w:fill="FFFFFF"/>
        </w:rPr>
        <w:t>.</w:t>
      </w:r>
    </w:p>
    <w:p w:rsidR="006F1060" w:rsidRDefault="006F1060" w:rsidP="006F1060">
      <w:pPr>
        <w:bidi/>
        <w:spacing w:line="360" w:lineRule="auto"/>
        <w:rPr>
          <w:rFonts w:ascii="IRANSans" w:hAnsi="IRANSans" w:cs="B Nazanin"/>
          <w:color w:val="3E3E3E"/>
          <w:sz w:val="24"/>
          <w:szCs w:val="24"/>
          <w:shd w:val="clear" w:color="auto" w:fill="FFFFFF"/>
        </w:rPr>
      </w:pPr>
    </w:p>
    <w:p w:rsidR="006F1060" w:rsidRDefault="006F1060" w:rsidP="006F1060">
      <w:pPr>
        <w:bidi/>
        <w:spacing w:line="360" w:lineRule="auto"/>
        <w:rPr>
          <w:rFonts w:cs="B Nazanin"/>
          <w:sz w:val="24"/>
          <w:szCs w:val="24"/>
        </w:rPr>
      </w:pPr>
      <w:hyperlink r:id="rId4" w:history="1">
        <w:r w:rsidRPr="000D665B">
          <w:rPr>
            <w:rStyle w:val="Hyperlink"/>
            <w:rFonts w:cs="B Nazanin"/>
            <w:sz w:val="24"/>
            <w:szCs w:val="24"/>
          </w:rPr>
          <w:t>https://fardapaper.ir/future-cloud-computing-extensive</w:t>
        </w:r>
      </w:hyperlink>
    </w:p>
    <w:p w:rsidR="006F1060" w:rsidRPr="006F1060" w:rsidRDefault="006F1060" w:rsidP="006F1060">
      <w:pPr>
        <w:bidi/>
        <w:spacing w:line="360" w:lineRule="auto"/>
        <w:rPr>
          <w:rFonts w:cs="B Nazanin"/>
          <w:sz w:val="24"/>
          <w:szCs w:val="24"/>
        </w:rPr>
      </w:pPr>
    </w:p>
    <w:sectPr w:rsidR="006F1060" w:rsidRPr="006F10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60"/>
    <w:rsid w:val="00234037"/>
    <w:rsid w:val="002F4B1A"/>
    <w:rsid w:val="006F1060"/>
    <w:rsid w:val="008000D7"/>
    <w:rsid w:val="008D0E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DBA0"/>
  <w15:chartTrackingRefBased/>
  <w15:docId w15:val="{61735638-33CD-47B0-AA4A-356BD37F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EE0"/>
  </w:style>
  <w:style w:type="paragraph" w:styleId="Heading2">
    <w:name w:val="heading 2"/>
    <w:basedOn w:val="Normal"/>
    <w:link w:val="Heading2Char"/>
    <w:uiPriority w:val="9"/>
    <w:qFormat/>
    <w:rsid w:val="006F10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E0"/>
    <w:pPr>
      <w:ind w:left="720"/>
      <w:contextualSpacing/>
    </w:pPr>
  </w:style>
  <w:style w:type="character" w:styleId="Hyperlink">
    <w:name w:val="Hyperlink"/>
    <w:basedOn w:val="DefaultParagraphFont"/>
    <w:uiPriority w:val="99"/>
    <w:unhideWhenUsed/>
    <w:rsid w:val="006F1060"/>
    <w:rPr>
      <w:color w:val="0563C1" w:themeColor="hyperlink"/>
      <w:u w:val="single"/>
    </w:rPr>
  </w:style>
  <w:style w:type="character" w:customStyle="1" w:styleId="Heading2Char">
    <w:name w:val="Heading 2 Char"/>
    <w:basedOn w:val="DefaultParagraphFont"/>
    <w:link w:val="Heading2"/>
    <w:uiPriority w:val="9"/>
    <w:rsid w:val="006F106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0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ardapaper.ir/future-cloud-computing-extens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Amiripour</dc:creator>
  <cp:keywords/>
  <dc:description/>
  <cp:lastModifiedBy>Maryam Amiripour</cp:lastModifiedBy>
  <cp:revision>1</cp:revision>
  <dcterms:created xsi:type="dcterms:W3CDTF">2021-05-26T08:23:00Z</dcterms:created>
  <dcterms:modified xsi:type="dcterms:W3CDTF">2021-05-26T08:24:00Z</dcterms:modified>
</cp:coreProperties>
</file>