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Supplementary methods and diagnostic results</w:t>
      </w:r>
    </w:p>
    <w:p>
      <w:r>
        <w:t xml:space="preserve">Supplement to: Morphology-based classification and error-controlled reduction of urban weather files with Torino as a case study</w:t>
      </w:r>
    </w:p>
    <w:p>
      <w:r>
        <w:rPr>
          <w:b w:val="0"/>
          <w:i w:val="0"/>
        </w:rPr>
        <w:t>Ali JahaniRahaei and Giacomo Chiesa</w:t>
      </w:r>
    </w:p>
    <w:p>
      <w:r>
        <w:t xml:space="preserve">Tables S1-S13 are supplied as CSV files in the accompanying archive. Tables S1, S2 and S10-S12 are also reproduced here. Figures S1-S6 are included below and as separate files. File names, units, scenario definitions and execution instructions are listed in README.md.</w:t>
      </w:r>
      <w:r>
        <w:t xml:space="preserve"> Reported values are rounded for readability. Error screens, percentage changes and assignments use unrounded values retained in the underlying data and code; displayed differences can therefore differ from differences calculated from rounded table entries. Numerical precision does not establish physical accuracy.</w:t>
      </w:r>
    </w:p>
    <w:p>
      <w:r>
        <w:t xml:space="preserve">Supplementary</w:t>
      </w:r>
      <w:r>
        <w:t xml:space="preserve"> package version 1.</w:t>
      </w:r>
      <w:r>
        <w:t xml:space="preserve">1</w:t>
      </w:r>
      <w:r>
        <w:t xml:space="preserve">.0</w:t>
      </w:r>
      <w:r>
        <w:t xml:space="preserve">: https://github.com/alijahanirahaei/torino-urban-epw-atlas/releases/tag/supplement-v1.</w:t>
      </w:r>
      <w:r>
        <w:t xml:space="preserve">1</w:t>
      </w:r>
      <w:r>
        <w:t xml:space="preserve">.0</w:t>
      </w:r>
    </w:p>
    <w:p>
      <w:pPr>
        <w:pStyle w:val="Heading1"/>
      </w:pPr>
      <w:r>
        <w:rPr>
          <w:b w:val="0"/>
          <w:i w:val="0"/>
        </w:rPr>
        <w:t>S1 Spatial inputs and model translation</w:t>
      </w:r>
    </w:p>
    <w:p>
      <w:r>
        <w:rPr>
          <w:b w:val="0"/>
          <w:i w:val="0"/>
        </w:rPr>
        <w:t xml:space="preserve">The municipal boundary, building-volume polygons with heights, road surfaces, mapped green areas and living-tree inventory supply the spatial inputs. The measurement-derived weather series have a separate provenance through ARPA Piemonte and the processed 2014–2023 EPW dataset. The weather dataset is described by JahaniRahaei, Milelli and Chiesa (2025), DOI 10.1016/j.dib.2025.111708; its dataset DOI is 10.5281/zenodo.14905721. </w:t>
      </w:r>
      <w:r>
        <w:rPr>
          <w:b w:val="0"/>
          <w:i w:val="0"/>
        </w:rPr>
        <w:t xml:space="preserve">These</w:t>
      </w:r>
      <w:r>
        <w:rPr>
          <w:b w:val="0"/>
          <w:i w:val="0"/>
        </w:rPr>
        <w:t xml:space="preserve"> </w:t>
      </w:r>
      <w:r>
        <w:rPr>
          <w:b w:val="0"/>
          <w:i w:val="0"/>
        </w:rPr>
        <w:t xml:space="preserve">identifiers</w:t>
      </w:r>
      <w:r>
        <w:rPr>
          <w:b w:val="0"/>
          <w:i w:val="0"/>
        </w:rPr>
        <w:t xml:space="preserve"> </w:t>
      </w:r>
      <w:r>
        <w:rPr>
          <w:b w:val="0"/>
          <w:i w:val="0"/>
        </w:rPr>
        <w:t xml:space="preserve">refer to the source weather article and dataset, not</w:t>
      </w:r>
      <w:r>
        <w:rPr>
          <w:b w:val="0"/>
          <w:i w:val="0"/>
        </w:rPr>
        <w:t xml:space="preserve"> the atlas</w:t>
      </w:r>
      <w:r>
        <w:rPr>
          <w:b w:val="0"/>
          <w:i w:val="0"/>
        </w:rPr>
        <w:t xml:space="preserve">.</w:t>
      </w:r>
    </w:p>
    <w:p>
      <w:r>
        <w:rPr>
          <w:b w:val="0"/>
          <w:i w:val="0"/>
        </w:rPr>
        <w:t>Metric operations use Monte Mario / Italy zone 1 (EPSG:3003). Query coordinates use WGS84 longitude and latitude. The 100 m assignment polygons identify lookup locations, whereas the morphology is computed over 500 m square supports centred on those locations. Fractions use the full 250,000 m² denominator even at the municipal edge, where missing external GIS is flagged. These overlapping supports are not independent observations or 100 m climate predictions.</w:t>
      </w:r>
    </w:p>
    <w:p>
      <w:r>
        <w:rPr>
          <w:b w:val="0"/>
          <w:i w:val="0"/>
        </w:rPr>
        <w:t>Building fraction is unioned footprint area divided by support area. Height is the footprint-area-weighted mean over valid heights. Exterior facade/site is global dissolved-footprint exterior perimeter within the square, multiplied by support mean height and divided by support area. Shared walls and courtyard rings are excluded; wall-segment heights are not individually integrated. Clipping an undissolved building and counting its artificial clipped edge would not reproduce this perimeter definition.</w:t>
      </w:r>
    </w:p>
    <w:p>
      <w:r>
        <w:rPr>
          <w:b w:val="0"/>
          <w:i w:val="0"/>
        </w:rPr>
        <w:t>Trees use buffered observed or imputed crown diameters, with crown union to avoid overlap double counting. Missing crowns follow the archived species, height and citywide fallback hierarchy. Crown coverage is limited to non-building fraction. Grass is the nonnegative mapped green remainder after that allocation, capped by remaining non-building area. It is not a measured map of understorey grass. Individual tree heights and explicit shadows are not passed to this UWG setup.</w:t>
      </w:r>
    </w:p>
    <w:p>
      <w:r>
        <w:rPr>
          <w:b w:val="0"/>
          <w:i w:val="0"/>
        </w:rPr>
        <w:t xml:space="preserve">An intersection correction retains polygon components within GeometryCollections. It materially changes canopy at 75 supports but no valid fixed-classifier k = 7 assignment. Fixed-classifier k = 4 and 8 assignments change at two and three supports. All 19 archived medoids retain their UWG-relevant inputs. The existing medoids were retained when evaluating the correction. Paired seed tests distinguish the effect of the input correction from variability introduced by approximate optimisation.</w:t>
      </w:r>
    </w:p>
    <w:p>
      <w:pPr>
        <w:pStyle w:val="Heading1"/>
      </w:pPr>
      <w:r>
        <w:rPr>
          <w:b w:val="0"/>
          <w:i w:val="0"/>
        </w:rPr>
        <w:t>S2 Scale and classification tests</w:t>
      </w:r>
    </w:p>
    <w:p>
      <w:r>
        <w:rPr>
          <w:b w:val="0"/>
          <w:i w:val="0"/>
        </w:rPr>
        <w:t>The preliminary building-led cells join building blocks to allocated street and open context. The production method does not average these cells: it intersects source geometry directly with regular supports. A citywide irregular-cell audit identified extreme allocation areas and footprint crossings. These are limits of that implementation, not proof against every block-based method.</w:t>
      </w:r>
    </w:p>
    <w:p>
      <w:r>
        <w:rPr>
          <w:b w:val="0"/>
          <w:i w:val="0"/>
        </w:rPr>
        <w:t xml:space="preserve">The </w:t>
      </w:r>
      <w:r>
        <w:rPr>
          <w:b w:val="0"/>
          <w:i w:val="0"/>
        </w:rPr>
        <w:t xml:space="preserve">grid-</w:t>
      </w:r>
      <w:r>
        <w:rPr>
          <w:b w:val="0"/>
          <w:i w:val="0"/>
        </w:rPr>
        <w:t xml:space="preserve">origin test shifts the 100 m grid by 50 m east and north and interpolates shifted morphology to 2,401 common coordinates. The </w:t>
      </w:r>
      <w:r>
        <w:rPr>
          <w:b w:val="0"/>
          <w:i w:val="0"/>
        </w:rPr>
        <w:t xml:space="preserve">matched</w:t>
      </w:r>
      <w:r>
        <w:rPr>
          <w:b w:val="0"/>
          <w:i w:val="0"/>
        </w:rPr>
        <w:t xml:space="preserve"> scale test</w:t>
      </w:r>
      <w:r>
        <w:rPr>
          <w:b w:val="0"/>
          <w:i w:val="0"/>
        </w:rPr>
        <w:t xml:space="preserve"> recalculates 250, 500 and 1000 m squares at 385 matched centres. The probability component contains 336 draws in 28 strata from the full-1000 m coverage frame; 304 pass the all-scale quality criteria. Its weighted variance analysis excludes 13 building-free and 19 inadequately height-covered 250 m supports. Targeted examples do not enter the probability estimator. These are different tests and neither measures a unique atmospheric footprint.</w:t>
      </w:r>
      <w:r>
        <w:rPr>
          <w:b w:val="0"/>
          <w:i w:val="0"/>
        </w:rPr>
        <w:t xml:space="preserve"> The 304-centre scale analysis applies the same design weights to total, within-class and between-class variances. Total height variance at 250/500/1000 m is 25.83/19.27/12.77 m²; its within-class component is 13.06/6.42/4.13 m². Total facade/site variance is 0.</w:t>
      </w:r>
      <w:r>
        <w:rPr>
          <w:b w:val="0"/>
          <w:i w:val="0"/>
        </w:rPr>
        <w:t xml:space="preserve">125</w:t>
      </w:r>
      <w:r>
        <w:rPr>
          <w:b w:val="0"/>
          <w:i w:val="0"/>
        </w:rPr>
        <w:t xml:space="preserve">/0.</w:t>
      </w:r>
      <w:r>
        <w:rPr>
          <w:b w:val="0"/>
          <w:i w:val="0"/>
        </w:rPr>
        <w:t xml:space="preserve">103</w:t>
      </w:r>
      <w:r>
        <w:rPr>
          <w:b w:val="0"/>
          <w:i w:val="0"/>
        </w:rPr>
        <w:t xml:space="preserve">/0.</w:t>
      </w:r>
      <w:r>
        <w:rPr>
          <w:b w:val="0"/>
          <w:i w:val="0"/>
        </w:rPr>
        <w:t xml:space="preserve">075</w:t>
      </w:r>
      <w:r>
        <w:rPr>
          <w:b w:val="0"/>
          <w:i w:val="0"/>
        </w:rPr>
        <w:t xml:space="preserve">, and its within-class component is 0.</w:t>
      </w:r>
      <w:r>
        <w:rPr>
          <w:b w:val="0"/>
          <w:i w:val="0"/>
        </w:rPr>
        <w:t xml:space="preserve">042</w:t>
      </w:r>
      <w:r>
        <w:rPr>
          <w:b w:val="0"/>
          <w:i w:val="0"/>
        </w:rPr>
        <w:t xml:space="preserve">/0.</w:t>
      </w:r>
      <w:r>
        <w:rPr>
          <w:b w:val="0"/>
          <w:i w:val="0"/>
        </w:rPr>
        <w:t xml:space="preserve">024</w:t>
      </w:r>
      <w:r>
        <w:rPr>
          <w:b w:val="0"/>
          <w:i w:val="0"/>
        </w:rPr>
        <w:t xml:space="preserve">/0.</w:t>
      </w:r>
      <w:r>
        <w:rPr>
          <w:b w:val="0"/>
          <w:i w:val="0"/>
        </w:rPr>
        <w:t xml:space="preserve">020</w:t>
      </w:r>
      <w:r>
        <w:rPr>
          <w:b w:val="0"/>
          <w:i w:val="0"/>
        </w:rPr>
        <w:t xml:space="preserve">. Thus the 250-to-500 m reductions are 25.4%/18.1% for total height/facade variance and 50.8%/43.3% within classes. Total equals within-class plus between-class variance; the distinction is not weighted versus unweighted analysis. The 500 m class labels remain fixed at every scale (Table S8).</w:t>
      </w:r>
    </w:p>
    <w:p>
      <w:r>
        <w:rPr>
          <w:b w:val="0"/>
          <w:i w:val="0"/>
        </w:rPr>
        <w:t xml:space="preserve">The fitting population comprises 10,593 strict-quality supports. Each of five inputs is centred by its fit median and divided by its interquartile range. K-means scans k = 2–12; the composite rank is calculated only for k = 4–8. Weights are 0.25 silhouette, 0.20 Davies–Bouldin, 0.25 spatial perturbation ARI, and 0.10 each for Calinski–Harabasz, neighbour agreement and elbow curvature. A two-point penalty applies below 1% minimum class share. The highest-ranked solution is k = 4. The k = 7 solution was selected retrospectively for its morphological distinctions; k = 8 remains an alternative.</w:t>
      </w:r>
    </w:p>
    <w:p>
      <w:r>
        <w:rPr>
          <w:b w:val="0"/>
          <w:i w:val="0"/>
        </w:rPr>
        <w:t xml:space="preserve">Representative supports were selected from six sampled trials of 2,000 supports by minimising the full-population Euclidean distance cost. This CLARA-style procedure is not an exact global medoid optimum. Within each sample, K-means with ten initialisations supplies initial groups and their nearest observed centres. Alternating updates select the within-group point with the smallest summed pairwise distance, stopping at unchanged medoids or 40 iterations. The algorithm does not perform a globally optimal PAM swap search. Feature ablations, group balancing and a nonlinear transform retain this algorithm to isolate representation sensitivity. Hierarchical Density-Based Spatial Clustering of Applications with Noise (HDBSCAN) is examined over 12 settings, with both assigned coverage and noise reported. Its conditional silhouette excludes noise and cannot directly rank a full-coverage partition. The sampled Ward comparison uses 2,500 supports. No deep representation or full-city hierarchical experiment was performed.</w:t>
      </w:r>
    </w:p>
    <w:p>
      <w:r>
        <w:rPr>
          <w:b w:val="0"/>
          <w:i w:val="0"/>
        </w:rPr>
        <w:t xml:space="preserve">The buffered spatial test has ten paired repetitions, withholding 20% of occupied 2 km blocks. A 500 m Chebyshev buffer excludes positive support-area overlap between training and test. Training-only scaling and four trials of 1,500 supports are compared against an equally budgeted full-data reference. ARI is agreement with that reference, not classification accuracy against independently observed classes. The unbuffered k-means screening scores have a different design. The 0.977 screening score belongs to k = 2, not k = 7.</w:t>
      </w:r>
    </w:p>
    <w:p>
      <w:pPr>
        <w:pStyle w:val="Heading1"/>
      </w:pPr>
      <w:r>
        <w:rPr>
          <w:b w:val="0"/>
          <w:i w:val="0"/>
        </w:rPr>
        <w:t>S3 UWG execution and file provenance</w:t>
      </w:r>
    </w:p>
    <w:p>
      <w:r>
        <w:rPr>
          <w:b w:val="0"/>
          <w:i w:val="0"/>
        </w:rPr>
        <w:t xml:space="preserve">The executed model is UWG 5.3.4 (Bueno et al., 2013, DOI 10.1080/19401493.2012.718797). The accompanying common-template JSON is an inherited scaffold containing 31-day and 1000 m placeholders; it is not the executed annual configuration. The four representative JSON files and the per-run heat-sensitivity JSONs record the actual annual support-specific inputs. Executed common assumptions include zone 4A, floor height 3.05 m, characteristic length 500 m, January 1 start, 365 days, a 300 s simulation step and 3600 s weather interval. Building stock is 40% large office and 60% midrise apartment, both post-1980 reference types. The sensible anthropogenic heat amplitude is 20 W m⁻² (10.</w:t>
      </w:r>
      <w:r>
        <w:rPr>
          <w:b w:val="0"/>
          <w:i w:val="0"/>
        </w:rPr>
        <w:t xml:space="preserve">01</w:t>
      </w:r>
      <w:r>
        <w:rPr>
          <w:b w:val="0"/>
          <w:i w:val="0"/>
        </w:rPr>
        <w:t xml:space="preserve"> W m⁻² annual scheduled mean), h_mix is 1, and day/night boundary-layer heights are 1000/80 m. These are shared controls, not district-specific surveyed or calibrated values. The UWG API spelling is </w:t>
      </w:r>
      <w:r>
        <w:rPr>
          <w:rFonts w:ascii="Consolas" w:hAnsi="Consolas"/>
          <w:b w:val="0"/>
          <w:i w:val="0"/>
          <w:sz w:val="18"/>
        </w:rPr>
        <w:t>charlength</w:t>
      </w:r>
      <w:r>
        <w:rPr>
          <w:b w:val="0"/>
          <w:i w:val="0"/>
        </w:rPr>
        <w:t xml:space="preserve">, not </w:t>
      </w:r>
      <w:r>
        <w:rPr>
          <w:rFonts w:ascii="Consolas" w:hAnsi="Consolas"/>
          <w:b w:val="0"/>
          <w:i w:val="0"/>
          <w:sz w:val="18"/>
        </w:rPr>
        <w:t>char_length</w:t>
      </w:r>
      <w:r>
        <w:rPr>
          <w:b w:val="0"/>
          <w:i w:val="0"/>
        </w:rPr>
        <w:t>.</w:t>
      </w:r>
    </w:p>
    <w:p>
      <w:r>
        <w:rPr>
          <w:b w:val="0"/>
          <w:i w:val="0"/>
        </w:rPr>
        <w:t xml:space="preserve">AvMY Caselle raw-source SHA-256: </w:t>
      </w:r>
      <w:r>
        <w:rPr>
          <w:rFonts w:ascii="Consolas" w:hAnsi="Consolas"/>
          <w:b w:val="0"/>
          <w:i w:val="0"/>
          <w:sz w:val="18"/>
        </w:rPr>
        <w:t>3430967c3faa30aa3512a34c8fb636003458f162b50c2d2b5ded70707f76a71a</w:t>
      </w:r>
      <w:r>
        <w:rPr>
          <w:b w:val="0"/>
          <w:i w:val="0"/>
        </w:rPr>
        <w:t xml:space="preserve">. The pressure-corrected derivative SHA-256 is </w:t>
      </w:r>
      <w:r>
        <w:rPr>
          <w:rFonts w:ascii="Consolas" w:hAnsi="Consolas"/>
          <w:b w:val="0"/>
          <w:i w:val="0"/>
          <w:sz w:val="18"/>
        </w:rPr>
        <w:t>39c5c8cb90b39fefdfb531ade96700e9436d4df9c8fca3a57191f820d135e5a9</w:t>
      </w:r>
      <w:r>
        <w:rPr>
          <w:b w:val="0"/>
          <w:i w:val="0"/>
        </w:rPr>
        <w:t>. Only atmospheric pressure in column 10 (zero-based index 9) is multiplied by 100 from hPa to Pa. Units must be checked before conversion to prevent converting an already corrected file twice. Original source files are not overwritten.</w:t>
      </w:r>
    </w:p>
    <w:p>
      <w:r>
        <w:rPr>
          <w:b w:val="0"/>
          <w:i w:val="0"/>
        </w:rPr>
        <w:t xml:space="preserve">The production Python wrapper constructs UWG.from_dict with the configuration, effective forcing and output location, then calls generate(), simulate() and write_epw(). It records failures, durations and input/output hashes. In the executed version a duplicated final field is removed only after equality checks; the result must contain eight headers, 8,760 hourly rows and 35 weather columns. This repair must not be applied to an arbitrary unknown 36-column file. Standard one-decimal and diagnostic three-decimal serialization are retained separately. Additional decimal places describe numerical precision, not physical accuracy.</w:t>
      </w:r>
    </w:p>
    <w:p>
      <w:r>
        <w:rPr>
          <w:b w:val="0"/>
          <w:i w:val="0"/>
        </w:rPr>
        <w:t xml:space="preserve">All seven medoids were simulated under the </w:t>
      </w:r>
      <w:r>
        <w:rPr>
          <w:b w:val="0"/>
          <w:i w:val="0"/>
        </w:rPr>
        <w:t xml:space="preserve">common</w:t>
      </w:r>
      <w:r>
        <w:rPr>
          <w:b w:val="0"/>
          <w:i w:val="0"/>
        </w:rPr>
        <w:t xml:space="preserve"> template </w:t>
      </w:r>
      <w:r>
        <w:rPr>
          <w:b w:val="0"/>
          <w:i w:val="0"/>
        </w:rPr>
        <w:t xml:space="preserve">to</w:t>
      </w:r>
      <w:r>
        <w:rPr>
          <w:b w:val="0"/>
          <w:i w:val="0"/>
        </w:rPr>
        <w:t xml:space="preserve"> </w:t>
      </w:r>
      <w:r>
        <w:rPr>
          <w:b w:val="0"/>
          <w:i w:val="0"/>
        </w:rPr>
        <w:t xml:space="preserve">calculate</w:t>
      </w:r>
      <w:r>
        <w:rPr>
          <w:b w:val="0"/>
          <w:i w:val="0"/>
        </w:rPr>
        <w:t xml:space="preserve"> the minimax curve. For each nonempty subset, each parent medoid is represented by its nearest retained temperature series under hourly RMSE. Enumeration is exhaustive over 127 subsets. The primary objective minimises the largest class error; ties are resolved by fitting-support-share-weighted mean error. Shares are not population or city-area weights. The 7.37 ms timing is the median of 50 search repetitions, excluding I/O and simulation. No larger-set greedy benchmark was executed.</w:t>
      </w:r>
    </w:p>
    <w:p>
      <w:pPr>
        <w:pStyle w:val="Heading1"/>
      </w:pPr>
      <w:r>
        <w:rPr>
          <w:b w:val="0"/>
          <w:i w:val="0"/>
        </w:rPr>
        <w:t>S4 Non-medoid coverage and uncertainty scope</w:t>
      </w:r>
    </w:p>
    <w:p>
      <w:r>
        <w:rPr>
          <w:b w:val="0"/>
          <w:i w:val="0"/>
        </w:rPr>
        <w:t>The stratified design uses 105 non-medoid supports, 15 per class and three per distance band (0–25, 25–50, 50–75, 75–95, 95–100 percentiles). Sampling favours different 1 km blocks and 500 m centre separation; relaxations are recorded. Class/distance post-stratification weights approximate the represented support distribution; these are not exact simple-random inclusion probabilities after spatial selection. An additional 21 purposive cases target boundary margins, morphological extremes and proposed cleanup switches and receive zero weight in stratified summaries. Their maximum is a stress diagnostic, not a population percentile.</w:t>
      </w:r>
    </w:p>
    <w:p>
      <w:r>
        <w:rPr>
          <w:b w:val="0"/>
          <w:i w:val="0"/>
        </w:rPr>
        <w:t xml:space="preserve">All 105 stratified and 20 purposive cases succeed at 300 s. Grid 8230 fails at that timestep and remains excluded; a 180 s rerun is a separate diagnostic. The weighted P95 meets the 0.20 °C threshold, and the added P95 relative to seven medoids meets the 0.05 °C threshold. However, grid 1435 exceeds the 0.50 °C stress-test threshold, with an error of 1.</w:t>
      </w:r>
      <w:r>
        <w:rPr>
          <w:b w:val="0"/>
          <w:i w:val="0"/>
        </w:rPr>
        <w:t xml:space="preserve">33</w:t>
      </w:r>
      <w:r>
        <w:rPr>
          <w:b w:val="0"/>
          <w:i w:val="0"/>
        </w:rPr>
        <w:t xml:space="preserve"> °C. The failure already occurs relative to the original C6 representative and is not generated by merging seven outputs. Only three of 13 tested boundary/cleanup switches improve annual fidelity.</w:t>
      </w:r>
    </w:p>
    <w:p>
      <w:r>
        <w:rPr>
          <w:b w:val="0"/>
          <w:i w:val="0"/>
        </w:rPr>
        <w:t xml:space="preserve">The high-density C6 analysis defines the tail by building fraction at or above </w:t>
      </w:r>
      <w:r>
        <w:rPr>
          <w:b w:val="0"/>
          <w:i w:val="0"/>
        </w:rPr>
        <w:t xml:space="preserve">the</w:t>
      </w:r>
      <w:r>
        <w:rPr>
          <w:b w:val="0"/>
          <w:i w:val="0"/>
        </w:rPr>
        <w:t xml:space="preserve"> 95th percentile</w:t>
      </w:r>
      <w:r>
        <w:rPr>
          <w:b w:val="0"/>
          <w:i w:val="0"/>
        </w:rPr>
        <w:t xml:space="preserve"> of 390 strict-fitting C6 supports</w:t>
      </w:r>
      <w:r>
        <w:rPr>
          <w:b w:val="0"/>
          <w:i w:val="0"/>
        </w:rPr>
        <w:t xml:space="preserve"> (approximately 0.795; the implementation uses the unrounded quantile</w:t>
      </w:r>
      <w:r>
        <w:rPr>
          <w:b w:val="0"/>
          <w:i w:val="0"/>
        </w:rPr>
        <w:t xml:space="preserve">) and identifies 20 overlapping strict-fit supports at two industrial sites. Official geometry/use checks and the maps below support physical interpretation. A geometry-selected alternative passes the two prospective holdouts at 0.</w:t>
      </w:r>
      <w:r>
        <w:rPr>
          <w:b w:val="0"/>
          <w:i w:val="0"/>
        </w:rPr>
        <w:t xml:space="preserve">48</w:t>
      </w:r>
      <w:r>
        <w:rPr>
          <w:b w:val="0"/>
          <w:i w:val="0"/>
        </w:rPr>
        <w:t xml:space="preserve"> °C maximum, but the triggering support, grid 1435, remains at 0.</w:t>
      </w:r>
      <w:r>
        <w:rPr>
          <w:b w:val="0"/>
          <w:i w:val="0"/>
        </w:rPr>
        <w:t xml:space="preserve">56</w:t>
      </w:r>
      <w:r>
        <w:rPr>
          <w:b w:val="0"/>
          <w:i w:val="0"/>
        </w:rPr>
        <w:t xml:space="preserve"> °C. Global replacement harms ordinary C6 cases. The warehouse comparison changes only the building type; it does not calibrate the model against a surveyed building-stock inventory. No fifth public EPW is adopted. The unqualified four-file recommendation excludes the flagged tail; this </w:t>
      </w:r>
      <w:r>
        <w:rPr>
          <w:b w:val="0"/>
          <w:i w:val="0"/>
        </w:rPr>
        <w:t xml:space="preserve">conservative post hoc guardrail is not a physically validated applicability boundary and</w:t>
      </w:r>
      <w:r>
        <w:rPr>
          <w:b w:val="0"/>
          <w:i w:val="0"/>
        </w:rPr>
        <w:t xml:space="preserve"> does not resolve the original stress-test failure, and the stratified error distribution was not re-estimated after excluding the tail.</w:t>
      </w:r>
    </w:p>
    <w:p>
      <w:pPr>
        <w:rPr/>
      </w:pPr>
      <w:r>
        <w:rPr>
          <w:b w:val="0"/>
          <w:i w:val="0"/>
        </w:rPr>
        <w:t xml:space="preserve">The threshold is applied to all 413 assigned C6 locations among 12,862 assigned locations citywide. Rounding the cutoff to 0.795 changes none of the 20 restrictions; rounding to 0.80 would leave 19. Perturbing the exact cutoff by ±0.005 yields 19–22 restrictions, and ±0.010 yields 19–27. These are sensitivity checks, not confidence intervals. A further 19 C6 locations are caution-flagged between the strict-fitting 90th percentile (</w:t>
      </w:r>
      <w:r>
        <w:rPr>
          <w:b w:val="0"/>
          <w:i w:val="0"/>
        </w:rPr>
        <w:t xml:space="preserve">approximately </w:t>
      </w:r>
      <w:r>
        <w:rPr>
          <w:b w:val="0"/>
          <w:i w:val="0"/>
        </w:rPr>
        <w:t xml:space="preserve">0.</w:t>
      </w:r>
      <w:r>
        <w:rPr>
          <w:b w:val="0"/>
          <w:i w:val="0"/>
        </w:rPr>
        <w:t xml:space="preserve">755</w:t>
      </w:r>
      <w:r>
        <w:rPr>
          <w:b w:val="0"/>
          <w:i w:val="0"/>
        </w:rPr>
        <w:t xml:space="preserve">) and the restriction</w:t>
      </w:r>
      <w:r>
        <w:rPr>
          <w:b w:val="0"/>
          <w:i w:val="0"/>
        </w:rPr>
        <w:t xml:space="preserve">. Both percentile thresholds are applied without rounding in the software</w:t>
      </w:r>
      <w:r>
        <w:rPr>
          <w:b w:val="0"/>
          <w:i w:val="0"/>
        </w:rPr>
        <w:t xml:space="preserve">. The atlas exposes that flag in lookup warnings and spatial/tabular exports. Candidate downloads remain available in the caution band; neither that availability nor membership below the restriction establishes observational validity.</w:t>
      </w:r>
    </w:p>
    <w:p>
      <w:r>
        <w:rPr>
          <w:b w:val="0"/>
          <w:i w:val="0"/>
        </w:rPr>
        <w:t xml:space="preserve">Parameter tests comprise seven common alternatives across all seven medoids, or 49 annual runs, with eight states including baseline. The four-file scenario criteria require maximum RMSE at most 0.10 °C, a three-to-four improvement at least twice the four-to-five gain, and fixed-set maximum penalty at most 0.05 °C. In these seven alternatives, rural/reference parameters, anthropogenic heat and h_mix stay fixed; the additional heat experiment is described in S7. Crown uncertainty includes five-fold spatial masking, 23 propagation scenarios and 14 lower/upper-quartile annual medoid runs. The poorly observed no-height subgroup limits extrapolation. Neither experiment provides a joint uncertainty budget or a significance test of the benefit of a fifth EPW.</w:t>
      </w:r>
    </w:p>
    <w:p>
      <w:pPr>
        <w:pStyle w:val="Heading1"/>
      </w:pPr>
      <w:r>
        <w:rPr>
          <w:b w:val="0"/>
          <w:i w:val="0"/>
        </w:rPr>
        <w:t>S5 Synchronized station comparison</w:t>
      </w:r>
    </w:p>
    <w:p>
      <w:r>
        <w:rPr>
          <w:b w:val="0"/>
          <w:i w:val="0"/>
        </w:rPr>
        <w:t xml:space="preserve">The 2022 experiment uses processed, measurement-derived annual files aligned by nominal calendar and EPW hour in fixed UTC+1. There are 8,760 primary paired dry-bulb values per station. Uniform source flags do not recover which hours were measured or imputed. The comparison is therefore synchronized in time, but hourly measurement provenance cannot be resolved from the available processed files.</w:t>
      </w:r>
      <w:r>
        <w:rPr>
          <w:b w:val="0"/>
          <w:i w:val="0"/>
        </w:rPr>
        <w:t xml:space="preserve"> The selection statistic was the four-urban-station mean for 16 April–14 October: 2022 ranked first of ten years (2014–2023), with 22.44 °C versus the ten-year mean of 21.01 °C, an anomaly of +1.43 °C.</w:t>
      </w:r>
    </w:p>
    <w:p>
      <w:r>
        <w:rPr>
          <w:b w:val="0"/>
          <w:i w:val="0"/>
        </w:rPr>
        <w:t xml:space="preserve">Bias is model minus urban observation; modelled UHI is model minus Caselle. RMSE improvement is Caselle-to-station RMSE minus model-to-station RMSE. Positive improvement indicates lower RMSE than the Caselle reference. The primary 95% temporal intervals use 5,000 paired seven-day circular moving-block replicates. One-, three- and fourteen-day blocks give the same annual improvement direction. A strict flatline sensitivity removes 62 Reiss Romoli hours and changes annual RMSE by at most 0.</w:t>
      </w:r>
      <w:r>
        <w:rPr>
          <w:b w:val="0"/>
          <w:i w:val="0"/>
        </w:rPr>
        <w:t xml:space="preserve">03</w:t>
      </w:r>
      <w:r>
        <w:rPr>
          <w:b w:val="0"/>
          <w:i w:val="0"/>
        </w:rPr>
        <w:t xml:space="preserve"> °C. These intervals do not include all measurement or model uncertainty.</w:t>
      </w:r>
    </w:p>
    <w:p>
      <w:r>
        <w:rPr>
          <w:b w:val="0"/>
          <w:i w:val="0"/>
        </w:rPr>
        <w:t xml:space="preserve">2022 seasons are DJF and JJA; </w:t>
      </w:r>
      <w:r>
        <w:rPr>
          <w:b w:val="0"/>
          <w:i w:val="0"/>
        </w:rPr>
        <w:t xml:space="preserve">main-text</w:t>
      </w:r>
      <w:r>
        <w:rPr>
          <w:b w:val="0"/>
          <w:i w:val="0"/>
        </w:rPr>
        <w:t xml:space="preserve"> </w:t>
      </w:r>
      <w:r>
        <w:rPr>
          <w:b w:val="0"/>
          <w:i w:val="0"/>
        </w:rPr>
        <w:t xml:space="preserve">Table</w:t>
      </w:r>
      <w:r>
        <w:rPr>
          <w:b w:val="0"/>
          <w:i w:val="0"/>
        </w:rPr>
        <w:t xml:space="preserve"> </w:t>
      </w:r>
      <w:r>
        <w:rPr>
          <w:b w:val="0"/>
          <w:i w:val="0"/>
        </w:rPr>
        <w:t xml:space="preserve">9</w:t>
      </w:r>
      <w:r>
        <w:rPr>
          <w:b w:val="0"/>
          <w:i w:val="0"/>
        </w:rPr>
        <w:t xml:space="preserve"> instead uses October–March and April–September. EPW labels 07–18 are day and 19–06 are night, not solar masks. Three urban sites map to weather C and Reiss Romoli to D; A and B have no urban evaluation station. Alenia's exact 500 m square has only 85.72% municipal coverage. Among 2022 model outputs, 971 rows with RH above 100% and 960 with dew point above dry bulb were detected across both writer precisions. Humidity/dew-point/UDI conclusions are excluded for that experiment.</w:t>
      </w:r>
    </w:p>
    <w:p>
      <w:pPr>
        <w:pStyle w:val="Heading1"/>
      </w:pPr>
      <w:r>
        <w:rPr>
          <w:b w:val="0"/>
          <w:i w:val="0"/>
        </w:rPr>
        <w:t>S6 Reuse and compatibility</w:t>
      </w:r>
    </w:p>
    <w:p>
      <w:r>
        <w:rPr>
          <w:b w:val="0"/>
          <w:i w:val="0"/>
        </w:rPr>
        <w:t xml:space="preserve">The </w:t>
      </w:r>
      <w:r>
        <w:rPr>
          <w:b w:val="0"/>
          <w:i w:val="0"/>
        </w:rPr>
        <w:t xml:space="preserve">atlas</w:t>
      </w:r>
      <w:r>
        <w:rPr>
          <w:b w:val="0"/>
          <w:i w:val="0"/>
        </w:rPr>
        <w:t xml:space="preserve"> v0.</w:t>
      </w:r>
      <w:r>
        <w:rPr>
          <w:b w:val="0"/>
          <w:i w:val="0"/>
        </w:rPr>
        <w:t xml:space="preserve">3</w:t>
      </w:r>
      <w:r>
        <w:rPr>
          <w:b w:val="0"/>
          <w:i w:val="0"/>
        </w:rPr>
        <w:t xml:space="preserve">.0</w:t>
      </w:r>
      <w:r>
        <w:rPr>
          <w:b w:val="0"/>
          <w:i w:val="0"/>
        </w:rPr>
        <w:t xml:space="preserve"> GeoPackage contains </w:t>
      </w:r>
      <w:r>
        <w:rPr>
          <w:rFonts w:ascii="Consolas" w:hAnsi="Consolas"/>
          <w:b w:val="0"/>
          <w:i w:val="0"/>
          <w:sz w:val="18"/>
        </w:rPr>
        <w:t xml:space="preserve">seven named layers: </w:t>
      </w:r>
      <w:r>
        <w:rPr>
          <w:rFonts w:ascii="Consolas" w:hAnsi="Consolas"/>
          <w:b w:val="0"/>
          <w:i w:val="0"/>
          <w:sz w:val="18"/>
        </w:rPr>
        <w:t xml:space="preserve">grid_assignments</w:t>
      </w:r>
      <w:r>
        <w:rPr>
          <w:b w:val="0"/>
          <w:i w:val="0"/>
        </w:rPr>
        <w:t xml:space="preserve">, </w:t>
      </w:r>
      <w:r>
        <w:rPr>
          <w:rFonts w:ascii="Consolas" w:hAnsi="Consolas"/>
          <w:b w:val="0"/>
          <w:i w:val="0"/>
          <w:sz w:val="18"/>
        </w:rPr>
        <w:t>cluster_medoids</w:t>
      </w:r>
      <w:r>
        <w:rPr>
          <w:b w:val="0"/>
          <w:i w:val="0"/>
        </w:rPr>
        <w:t xml:space="preserve">, city_boundary, morphology_k4, morphology_k7, morphology_k8</w:t>
      </w:r>
      <w:r>
        <w:rPr>
          <w:b w:val="0"/>
          <w:i w:val="0"/>
        </w:rPr>
        <w:t xml:space="preserve"> and </w:t>
      </w:r>
      <w:r>
        <w:rPr>
          <w:rFonts w:ascii="Consolas" w:hAnsi="Consolas"/>
          <w:b w:val="0"/>
          <w:i w:val="0"/>
          <w:sz w:val="18"/>
        </w:rPr>
        <w:t xml:space="preserve">weather_categories</w:t>
      </w:r>
      <w:r>
        <w:rPr>
          <w:b w:val="0"/>
          <w:i w:val="0"/>
        </w:rPr>
        <w:t xml:space="preserve">. </w:t>
      </w:r>
      <w:r>
        <w:rPr>
          <w:b w:val="0"/>
          <w:i w:val="0"/>
        </w:rPr>
        <w:t xml:space="preserve">The assignment layer also contains all</w:t>
      </w:r>
      <w:r>
        <w:rPr>
          <w:b w:val="0"/>
          <w:i w:val="0"/>
        </w:rPr>
        <w:t xml:space="preserve"> three k-label columns</w:t>
      </w:r>
      <w:r>
        <w:rPr>
          <w:b w:val="0"/>
          <w:i w:val="0"/>
        </w:rPr>
        <w:t xml:space="preserve">.</w:t>
      </w:r>
      <w:r>
        <w:rPr>
          <w:b w:val="0"/>
          <w:i w:val="0"/>
        </w:rPr>
        <w:t xml:space="preserve"> </w:t>
      </w:r>
      <w:r>
        <w:rPr>
          <w:b w:val="0"/>
          <w:i w:val="0"/>
        </w:rPr>
        <w:t xml:space="preserve">Selecting</w:t>
      </w:r>
      <w:r>
        <w:rPr>
          <w:b w:val="0"/>
          <w:i w:val="0"/>
        </w:rPr>
        <w:t xml:space="preserve"> only the default layer does not enumerate the container. For example:</w:t>
      </w:r>
    </w:p>
    <w:p>
      <w:pPr>
        <w:keepLines/>
      </w:pPr>
      <w:r>
        <w:rPr>
          <w:rFonts w:ascii="Consolas" w:hAnsi="Consolas"/>
          <w:sz w:val="18"/>
        </w:rPr>
        <w:t>import geopandas as gpd</w:t>
      </w:r>
      <w:r>
        <w:br/>
      </w:r>
      <w:r>
        <w:rPr>
          <w:rFonts w:ascii="Consolas" w:hAnsi="Consolas"/>
          <w:sz w:val="18"/>
        </w:rPr>
        <w:t>path = "torino_urban_morphology_epw_atlas.gpkg"</w:t>
      </w:r>
      <w:r>
        <w:br/>
      </w:r>
      <w:r>
        <w:rPr>
          <w:rFonts w:ascii="Consolas" w:hAnsi="Consolas"/>
          <w:sz w:val="18"/>
        </w:rPr>
        <w:t>print(gpd.list_layers(path))</w:t>
      </w:r>
      <w:r>
        <w:br/>
      </w:r>
      <w:r>
        <w:rPr>
          <w:rFonts w:ascii="Consolas" w:hAnsi="Consolas"/>
          <w:sz w:val="18"/>
        </w:rPr>
        <w:t>grid = gpd.read_file(path, layer="grid_assignments")</w:t>
      </w:r>
      <w:r>
        <w:br/>
      </w:r>
      <w:r>
        <w:rPr>
          <w:rFonts w:ascii="Consolas" w:hAnsi="Consolas"/>
          <w:sz w:val="18"/>
        </w:rPr>
        <w:t>medoids = gpd.read_file(path, layer="cluster_medoids")</w:t>
      </w:r>
      <w:r>
        <w:br/>
      </w:r>
      <w:r>
        <w:rPr>
          <w:rFonts w:ascii="Consolas" w:hAnsi="Consolas"/>
          <w:sz w:val="18"/>
        </w:rPr>
        <w:t>boundary = gpd.read_file(path, layer="city_boundary")</w:t>
      </w:r>
    </w:p>
    <w:p>
      <w:r>
        <w:rPr>
          <w:b w:val="0"/>
          <w:i w:val="0"/>
        </w:rPr>
        <w:t xml:space="preserve">The GIS exports contain classifications and descriptors, not extruded buildings or a ready-made Dragonfly model. Rhino/Grasshopper supported preliminary spatial exploration; Python was the executed production route. Grasshopper/Dragonfly import performance was not benchmarked. Reuse must check layer selection, projected units, a reversible local-origin translation if needed, multipart/holes, height missingness, shared-wall/courtyard rules and cover denominators. A UWG parameter JSON is not a Dragonfly geometry JSON.</w:t>
      </w:r>
    </w:p>
    <w:p>
      <w:r>
        <w:rPr>
          <w:b w:val="0"/>
          <w:i w:val="0"/>
        </w:rPr>
        <w:t xml:space="preserve">The </w:t>
      </w:r>
      <w:r>
        <w:rPr>
          <w:b w:val="0"/>
          <w:i w:val="0"/>
        </w:rPr>
        <w:t xml:space="preserve">atlas</w:t>
      </w:r>
      <w:r>
        <w:rPr>
          <w:b w:val="0"/>
          <w:i w:val="0"/>
        </w:rPr>
        <w:t xml:space="preserve"> v0.3.0</w:t>
      </w:r>
      <w:r>
        <w:rPr>
          <w:b w:val="0"/>
          <w:i w:val="0"/>
        </w:rPr>
        <w:t xml:space="preserve"> and </w:t>
      </w:r>
      <w:r>
        <w:rPr>
          <w:b w:val="0"/>
          <w:i w:val="0"/>
        </w:rPr>
        <w:t xml:space="preserve">research</w:t>
      </w:r>
      <w:r>
        <w:rPr>
          <w:b w:val="0"/>
          <w:i w:val="0"/>
        </w:rPr>
        <w:t xml:space="preserve"> </w:t>
      </w:r>
      <w:r>
        <w:rPr>
          <w:b w:val="0"/>
          <w:i w:val="0"/>
        </w:rPr>
        <w:t xml:space="preserve">package</w:t>
      </w:r>
      <w:r>
        <w:rPr>
          <w:b w:val="0"/>
          <w:i w:val="0"/>
        </w:rPr>
        <w:t xml:space="preserve"> are </w:t>
      </w:r>
      <w:r>
        <w:rPr>
          <w:b w:val="0"/>
          <w:i w:val="0"/>
        </w:rPr>
        <w:t xml:space="preserve">distributed</w:t>
      </w:r>
      <w:r>
        <w:rPr>
          <w:b w:val="0"/>
          <w:i w:val="0"/>
        </w:rPr>
        <w:t xml:space="preserve"> </w:t>
      </w:r>
      <w:r>
        <w:rPr>
          <w:b w:val="0"/>
          <w:i w:val="0"/>
        </w:rPr>
        <w:t xml:space="preserve">through</w:t>
      </w:r>
      <w:r>
        <w:rPr>
          <w:b w:val="0"/>
          <w:i w:val="0"/>
        </w:rPr>
        <w:t xml:space="preserve"> https://github.com/alijahanirahaei/torino-urban-epw-atlas/releases/tag/v0.</w:t>
      </w:r>
      <w:r>
        <w:rPr>
          <w:b w:val="0"/>
          <w:i w:val="0"/>
        </w:rPr>
        <w:t xml:space="preserve">3.0. The four EPWs and exact UWG configurations retain their v0.</w:t>
      </w:r>
      <w:r>
        <w:rPr>
          <w:b w:val="0"/>
          <w:i w:val="0"/>
        </w:rPr>
        <w:t xml:space="preserve">2.0</w:t>
      </w:r>
      <w:r>
        <w:rPr>
          <w:b w:val="0"/>
          <w:i w:val="0"/>
        </w:rPr>
        <w:t xml:space="preserve"> identities and hashes</w:t>
      </w:r>
      <w:r>
        <w:rPr>
          <w:b w:val="0"/>
          <w:i w:val="0"/>
        </w:rPr>
        <w:t xml:space="preserve">. The lookup enforces</w:t>
      </w:r>
      <w:r>
        <w:rPr>
          <w:b w:val="0"/>
          <w:i w:val="0"/>
        </w:rPr>
        <w:t xml:space="preserve"> the</w:t>
      </w:r>
      <w:r>
        <w:rPr>
          <w:b w:val="0"/>
          <w:i w:val="0"/>
        </w:rPr>
        <w:t xml:space="preserve"> industrial-tail </w:t>
      </w:r>
      <w:r>
        <w:rPr>
          <w:b w:val="0"/>
          <w:i w:val="0"/>
        </w:rPr>
        <w:t xml:space="preserve">restriction</w:t>
      </w:r>
      <w:r>
        <w:rPr>
          <w:b w:val="0"/>
          <w:i w:val="0"/>
        </w:rPr>
        <w:t xml:space="preserve"> and </w:t>
      </w:r>
      <w:r>
        <w:rPr>
          <w:b w:val="0"/>
          <w:i w:val="0"/>
        </w:rPr>
        <w:t xml:space="preserve">withholds</w:t>
      </w:r>
      <w:r>
        <w:rPr>
          <w:b w:val="0"/>
          <w:i w:val="0"/>
        </w:rPr>
        <w:t xml:space="preserve"> </w:t>
      </w:r>
      <w:r>
        <w:rPr>
          <w:b w:val="0"/>
          <w:i w:val="0"/>
        </w:rPr>
        <w:t xml:space="preserve">downloads</w:t>
      </w:r>
      <w:r>
        <w:rPr>
          <w:b w:val="0"/>
          <w:i w:val="0"/>
        </w:rPr>
        <w:t xml:space="preserve"> </w:t>
      </w:r>
      <w:r>
        <w:rPr>
          <w:b w:val="0"/>
          <w:i w:val="0"/>
        </w:rPr>
        <w:t xml:space="preserve">at</w:t>
      </w:r>
      <w:r>
        <w:rPr>
          <w:b w:val="0"/>
          <w:i w:val="0"/>
        </w:rPr>
        <w:t xml:space="preserve"> </w:t>
      </w:r>
      <w:r>
        <w:rPr>
          <w:b w:val="0"/>
          <w:i w:val="0"/>
        </w:rPr>
        <w:t xml:space="preserve">missing-input</w:t>
      </w:r>
      <w:r>
        <w:rPr>
          <w:b w:val="0"/>
          <w:i w:val="0"/>
        </w:rPr>
        <w:t xml:space="preserve"> </w:t>
      </w:r>
      <w:r>
        <w:rPr>
          <w:b w:val="0"/>
          <w:i w:val="0"/>
        </w:rPr>
        <w:t xml:space="preserve">locations.</w:t>
      </w:r>
      <w:r>
        <w:rPr>
          <w:b w:val="0"/>
          <w:i w:val="0"/>
        </w:rPr>
        <w:t xml:space="preserve"> </w:t>
      </w:r>
      <w:r>
        <w:rPr>
          <w:b w:val="0"/>
          <w:i w:val="0"/>
        </w:rPr>
        <w:t xml:space="preserve">Supplied features and</w:t>
      </w:r>
      <w:r>
        <w:rPr>
          <w:b w:val="0"/>
          <w:i w:val="0"/>
        </w:rPr>
        <w:t xml:space="preserve"> the </w:t>
      </w:r>
      <w:r>
        <w:rPr>
          <w:b w:val="0"/>
          <w:i w:val="0"/>
        </w:rPr>
        <w:t xml:space="preserve">fixed</w:t>
      </w:r>
      <w:r>
        <w:rPr>
          <w:b w:val="0"/>
          <w:i w:val="0"/>
        </w:rPr>
        <w:t xml:space="preserve"> </w:t>
      </w:r>
      <w:r>
        <w:rPr>
          <w:b w:val="0"/>
          <w:i w:val="0"/>
        </w:rPr>
        <w:t xml:space="preserve">classifier</w:t>
      </w:r>
      <w:r>
        <w:rPr>
          <w:b w:val="0"/>
          <w:i w:val="0"/>
        </w:rPr>
        <w:t xml:space="preserve"> </w:t>
      </w:r>
      <w:r>
        <w:rPr>
          <w:b w:val="0"/>
          <w:i w:val="0"/>
        </w:rPr>
        <w:t xml:space="preserve">support</w:t>
      </w:r>
      <w:r>
        <w:rPr>
          <w:b w:val="0"/>
          <w:i w:val="0"/>
        </w:rPr>
        <w:t xml:space="preserve"> </w:t>
      </w:r>
      <w:r>
        <w:rPr>
          <w:b w:val="0"/>
          <w:i w:val="0"/>
        </w:rPr>
        <w:t xml:space="preserve">export</w:t>
      </w:r>
      <w:r>
        <w:rPr>
          <w:b w:val="0"/>
          <w:i w:val="0"/>
        </w:rPr>
        <w:t xml:space="preserve"> </w:t>
      </w:r>
      <w:r>
        <w:rPr>
          <w:b w:val="0"/>
          <w:i w:val="0"/>
        </w:rPr>
        <w:t xml:space="preserve">reconstruction;</w:t>
      </w:r>
      <w:r>
        <w:rPr>
          <w:b w:val="0"/>
          <w:i w:val="0"/>
        </w:rPr>
        <w:t xml:space="preserve"> </w:t>
      </w:r>
      <w:r>
        <w:rPr>
          <w:b w:val="0"/>
          <w:i w:val="0"/>
        </w:rPr>
        <w:t xml:space="preserve">seven-medoid</w:t>
      </w:r>
      <w:r>
        <w:rPr>
          <w:b w:val="0"/>
          <w:i w:val="0"/>
        </w:rPr>
        <w:t xml:space="preserve"> </w:t>
      </w:r>
      <w:r>
        <w:rPr>
          <w:b w:val="0"/>
          <w:i w:val="0"/>
        </w:rPr>
        <w:t xml:space="preserve">hourly</w:t>
      </w:r>
      <w:r>
        <w:rPr>
          <w:b w:val="0"/>
          <w:i w:val="0"/>
        </w:rPr>
        <w:t xml:space="preserve"> </w:t>
      </w:r>
      <w:r>
        <w:rPr>
          <w:b w:val="0"/>
          <w:i w:val="0"/>
        </w:rPr>
        <w:t xml:space="preserve">series</w:t>
      </w:r>
      <w:r>
        <w:rPr>
          <w:b w:val="0"/>
          <w:i w:val="0"/>
        </w:rPr>
        <w:t xml:space="preserve"> </w:t>
      </w:r>
      <w:r>
        <w:rPr>
          <w:b w:val="0"/>
          <w:i w:val="0"/>
        </w:rPr>
        <w:t xml:space="preserve">support</w:t>
      </w:r>
      <w:r>
        <w:rPr>
          <w:b w:val="0"/>
          <w:i w:val="0"/>
        </w:rPr>
        <w:t xml:space="preserve"> </w:t>
      </w:r>
      <w:r>
        <w:rPr>
          <w:b w:val="0"/>
          <w:i w:val="0"/>
        </w:rPr>
        <w:t xml:space="preserve">the minimax calculation, and exact configurations and a hash</w:t>
      </w:r>
      <w:r>
        <w:rPr>
          <w:b w:val="0"/>
          <w:i w:val="0"/>
        </w:rPr>
        <w:t xml:space="preserve">-</w:t>
      </w:r>
      <w:r>
        <w:rPr>
          <w:b w:val="0"/>
          <w:i w:val="0"/>
        </w:rPr>
        <w:t xml:space="preserve">checked</w:t>
      </w:r>
      <w:r>
        <w:rPr>
          <w:b w:val="0"/>
          <w:i w:val="0"/>
        </w:rPr>
        <w:t xml:space="preserve"> </w:t>
      </w:r>
      <w:r>
        <w:rPr>
          <w:b w:val="0"/>
          <w:i w:val="0"/>
        </w:rPr>
        <w:t xml:space="preserve">runner</w:t>
      </w:r>
      <w:r>
        <w:rPr>
          <w:b w:val="0"/>
          <w:i w:val="0"/>
        </w:rPr>
        <w:t xml:space="preserve"> </w:t>
      </w:r>
      <w:r>
        <w:rPr>
          <w:b w:val="0"/>
          <w:i w:val="0"/>
        </w:rPr>
        <w:t xml:space="preserve">support</w:t>
      </w:r>
      <w:r>
        <w:rPr>
          <w:b w:val="0"/>
          <w:i w:val="0"/>
        </w:rPr>
        <w:t xml:space="preserve"> </w:t>
      </w:r>
      <w:r>
        <w:rPr>
          <w:b w:val="0"/>
          <w:i w:val="0"/>
        </w:rPr>
        <w:t xml:space="preserve">annual</w:t>
      </w:r>
      <w:r>
        <w:rPr>
          <w:b w:val="0"/>
          <w:i w:val="0"/>
        </w:rPr>
        <w:t xml:space="preserve"> </w:t>
      </w:r>
      <w:r>
        <w:rPr>
          <w:b w:val="0"/>
          <w:i w:val="0"/>
        </w:rPr>
        <w:t xml:space="preserve">UWG execution with the documented source EPW</w:t>
      </w:r>
      <w:r>
        <w:rPr>
          <w:b w:val="0"/>
          <w:i w:val="0"/>
        </w:rPr>
        <w:t xml:space="preserve">. The </w:t>
      </w:r>
      <w:r>
        <w:rPr>
          <w:b w:val="0"/>
          <w:i w:val="0"/>
        </w:rPr>
        <w:t xml:space="preserve">research</w:t>
      </w:r>
      <w:r>
        <w:rPr>
          <w:b w:val="0"/>
          <w:i w:val="0"/>
        </w:rPr>
        <w:t xml:space="preserve"> </w:t>
      </w:r>
      <w:r>
        <w:rPr>
          <w:b w:val="0"/>
          <w:i w:val="0"/>
        </w:rPr>
        <w:t xml:space="preserve">evidence includes HDBSCAN settings, buffered spatial</w:t>
      </w:r>
      <w:r>
        <w:rPr>
          <w:b w:val="0"/>
          <w:i w:val="0"/>
        </w:rPr>
        <w:t xml:space="preserve">-</w:t>
      </w:r>
      <w:r>
        <w:rPr>
          <w:b w:val="0"/>
          <w:i w:val="0"/>
        </w:rPr>
        <w:t xml:space="preserve">stability</w:t>
      </w:r>
      <w:r>
        <w:rPr>
          <w:b w:val="0"/>
          <w:i w:val="0"/>
        </w:rPr>
        <w:t xml:space="preserve"> </w:t>
      </w:r>
      <w:r>
        <w:rPr>
          <w:b w:val="0"/>
          <w:i w:val="0"/>
        </w:rPr>
        <w:t xml:space="preserve">summaries</w:t>
      </w:r>
      <w:r>
        <w:rPr>
          <w:b w:val="0"/>
          <w:i w:val="0"/>
        </w:rPr>
        <w:t xml:space="preserve"> </w:t>
      </w:r>
      <w:r>
        <w:rPr>
          <w:b w:val="0"/>
          <w:i w:val="0"/>
        </w:rPr>
        <w:t xml:space="preserve">and</w:t>
      </w:r>
      <w:r>
        <w:rPr>
          <w:b w:val="0"/>
          <w:i w:val="0"/>
        </w:rPr>
        <w:t xml:space="preserve"> </w:t>
      </w:r>
      <w:r>
        <w:rPr>
          <w:b w:val="0"/>
          <w:i w:val="0"/>
        </w:rPr>
        <w:t xml:space="preserve">non-medoid</w:t>
      </w:r>
      <w:r>
        <w:rPr>
          <w:b w:val="0"/>
          <w:i w:val="0"/>
        </w:rPr>
        <w:t xml:space="preserve"> </w:t>
      </w:r>
      <w:r>
        <w:rPr>
          <w:b w:val="0"/>
          <w:i w:val="0"/>
        </w:rPr>
        <w:t xml:space="preserve">sampling</w:t>
      </w:r>
      <w:r>
        <w:rPr>
          <w:b w:val="0"/>
          <w:i w:val="0"/>
        </w:rPr>
        <w:t xml:space="preserve"> </w:t>
      </w:r>
      <w:r>
        <w:rPr>
          <w:b w:val="0"/>
          <w:i w:val="0"/>
        </w:rPr>
        <w:t xml:space="preserve">and</w:t>
      </w:r>
      <w:r>
        <w:rPr>
          <w:b w:val="0"/>
          <w:i w:val="0"/>
        </w:rPr>
        <w:t xml:space="preserve"> </w:t>
      </w:r>
      <w:r>
        <w:rPr>
          <w:b w:val="0"/>
          <w:i w:val="0"/>
        </w:rPr>
        <w:t xml:space="preserve">fidelity</w:t>
      </w:r>
      <w:r>
        <w:rPr>
          <w:b w:val="0"/>
          <w:i w:val="0"/>
        </w:rPr>
        <w:t xml:space="preserve"> </w:t>
      </w:r>
      <w:r>
        <w:rPr>
          <w:b w:val="0"/>
          <w:i w:val="0"/>
        </w:rPr>
        <w:t xml:space="preserve">tables.</w:t>
      </w:r>
      <w:r>
        <w:rPr>
          <w:b w:val="0"/>
          <w:i w:val="0"/>
        </w:rPr>
        <w:t xml:space="preserve"> </w:t>
      </w:r>
      <w:r>
        <w:rPr>
          <w:b w:val="0"/>
          <w:i w:val="0"/>
        </w:rPr>
        <w:t xml:space="preserve">Raw-GIS reconstruction,</w:t>
      </w:r>
      <w:r>
        <w:rPr>
          <w:b w:val="0"/>
          <w:i w:val="0"/>
        </w:rPr>
        <w:t xml:space="preserve"> complete </w:t>
      </w:r>
      <w:r>
        <w:rPr>
          <w:b w:val="0"/>
          <w:i w:val="0"/>
        </w:rPr>
        <w:t xml:space="preserve">clustering</w:t>
      </w:r>
      <w:r>
        <w:rPr>
          <w:b w:val="0"/>
          <w:i w:val="0"/>
        </w:rPr>
        <w:t xml:space="preserve"> </w:t>
      </w:r>
      <w:r>
        <w:rPr>
          <w:b w:val="0"/>
          <w:i w:val="0"/>
        </w:rPr>
        <w:t xml:space="preserve">refits and reproduction</w:t>
      </w:r>
      <w:r>
        <w:rPr>
          <w:b w:val="0"/>
          <w:i w:val="0"/>
        </w:rPr>
        <w:t xml:space="preserve"> of </w:t>
      </w:r>
      <w:r>
        <w:rPr>
          <w:b w:val="0"/>
          <w:i w:val="0"/>
        </w:rPr>
        <w:t xml:space="preserve">all station and uncertainty analyses are outside </w:t>
      </w:r>
      <w:r>
        <w:rPr>
          <w:b w:val="0"/>
          <w:i w:val="0"/>
        </w:rPr>
        <w:t xml:space="preserve">the </w:t>
      </w:r>
      <w:r>
        <w:rPr>
          <w:b w:val="0"/>
          <w:i w:val="0"/>
        </w:rPr>
        <w:t xml:space="preserve">package's</w:t>
      </w:r>
      <w:r>
        <w:rPr>
          <w:b w:val="0"/>
          <w:i w:val="0"/>
        </w:rPr>
        <w:t xml:space="preserve"> </w:t>
      </w:r>
      <w:r>
        <w:rPr>
          <w:b w:val="0"/>
          <w:i w:val="0"/>
        </w:rPr>
        <w:t xml:space="preserve">scope</w:t>
      </w:r>
      <w:r>
        <w:rPr>
          <w:b w:val="0"/>
          <w:i w:val="0"/>
        </w:rPr>
        <w:t xml:space="preserve">.</w:t>
      </w:r>
    </w:p>
    <w:p>
      <w:pPr>
        <w:pStyle w:val="Heading1"/>
      </w:pPr>
      <w:r>
        <w:rPr>
          <w:b w:val="0"/>
          <w:i w:val="0"/>
        </w:rPr>
        <w:t>S7 Anthropogenic heat and HVAC sensitivity</w:t>
      </w:r>
    </w:p>
    <w:p>
      <w:r>
        <w:rPr>
          <w:b w:val="0"/>
          <w:i w:val="0"/>
        </w:rPr>
        <w:t xml:space="preserve">The additional experiment evaluates whether heat magnitude, timing and spatial variation change medoid reduction or the use of unchanged weather files. It </w:t>
      </w:r>
      <w:r>
        <w:rPr>
          <w:b w:val="0"/>
          <w:i w:val="0"/>
        </w:rPr>
        <w:t xml:space="preserve">comprises</w:t>
      </w:r>
      <w:r>
        <w:rPr>
          <w:b w:val="0"/>
          <w:i w:val="0"/>
        </w:rPr>
        <w:t xml:space="preserve"> 84 annual UWG integrations</w:t>
      </w:r>
      <w:r>
        <w:rPr>
          <w:b w:val="0"/>
          <w:i w:val="0"/>
        </w:rPr>
        <w:t xml:space="preserve">,</w:t>
      </w:r>
      <w:r>
        <w:rPr>
          <w:b w:val="0"/>
          <w:i w:val="0"/>
        </w:rPr>
        <w:t xml:space="preserve"> </w:t>
      </w:r>
      <w:r>
        <w:rPr>
          <w:b w:val="0"/>
          <w:i w:val="0"/>
        </w:rPr>
        <w:t xml:space="preserve">complementing</w:t>
      </w:r>
      <w:r>
        <w:rPr>
          <w:b w:val="0"/>
          <w:i w:val="0"/>
        </w:rPr>
        <w:t xml:space="preserve"> the</w:t>
      </w:r>
      <w:r>
        <w:rPr>
          <w:b w:val="0"/>
          <w:i w:val="0"/>
        </w:rPr>
        <w:t xml:space="preserve"> common-parameter test without changing the adopted morphology, baseline configuration or library. Seven medoids are run under eight alternatives (56 integrations), and 14 non-medoids under two spatial alternatives (28 integrations). Twenty-one </w:t>
      </w:r>
      <w:r>
        <w:rPr>
          <w:b w:val="0"/>
          <w:i w:val="0"/>
        </w:rPr>
        <w:t xml:space="preserve">baseline</w:t>
      </w:r>
      <w:r>
        <w:rPr>
          <w:b w:val="0"/>
          <w:i w:val="0"/>
        </w:rPr>
        <w:t xml:space="preserve"> </w:t>
      </w:r>
      <w:r>
        <w:rPr>
          <w:b w:val="0"/>
          <w:i w:val="0"/>
        </w:rPr>
        <w:t xml:space="preserve">simulations</w:t>
      </w:r>
      <w:r>
        <w:rPr>
          <w:b w:val="0"/>
          <w:i w:val="0"/>
        </w:rPr>
        <w:t xml:space="preserve"> </w:t>
      </w:r>
      <w:r>
        <w:rPr>
          <w:b w:val="0"/>
          <w:i w:val="0"/>
        </w:rPr>
        <w:t xml:space="preserve">provide</w:t>
      </w:r>
      <w:r>
        <w:rPr>
          <w:b w:val="0"/>
          <w:i w:val="0"/>
        </w:rPr>
        <w:t xml:space="preserve"> </w:t>
      </w:r>
      <w:r>
        <w:rPr>
          <w:b w:val="0"/>
          <w:i w:val="0"/>
        </w:rPr>
        <w:t xml:space="preserve">matched</w:t>
      </w:r>
      <w:r>
        <w:rPr>
          <w:b w:val="0"/>
          <w:i w:val="0"/>
        </w:rPr>
        <w:t xml:space="preserve"> </w:t>
      </w:r>
      <w:r>
        <w:rPr>
          <w:b w:val="0"/>
          <w:i w:val="0"/>
        </w:rPr>
        <w:t xml:space="preserve">comparisons</w:t>
      </w:r>
      <w:r>
        <w:rPr>
          <w:b w:val="0"/>
          <w:i w:val="0"/>
        </w:rPr>
        <w:t xml:space="preserve">. Each </w:t>
      </w:r>
      <w:r>
        <w:rPr>
          <w:b w:val="0"/>
          <w:i w:val="0"/>
        </w:rPr>
        <w:t xml:space="preserve">scenario</w:t>
      </w:r>
      <w:r>
        <w:rPr>
          <w:b w:val="0"/>
          <w:i w:val="0"/>
        </w:rPr>
        <w:t xml:space="preserve"> integration supplies both one- and three-decimal EPWs. Three-decimal temperature is the primary diagnostic; additional digits are not greater physical or observational accuracy.</w:t>
      </w:r>
    </w:p>
    <w:p>
      <w:pPr>
        <w:pStyle w:val="Heading2"/>
      </w:pPr>
      <w:r>
        <w:rPr>
          <w:b w:val="0"/>
          <w:i w:val="0"/>
        </w:rPr>
        <w:t>S7.1 Parameter definitions and scenario construction</w:t>
      </w:r>
    </w:p>
    <w:p>
      <w:r>
        <w:rPr>
          <w:b w:val="0"/>
          <w:i w:val="0"/>
        </w:rPr>
        <w:t xml:space="preserve">The installed UWG 5.3.4 code supplies non-building sensible heat as the product of </w:t>
      </w:r>
      <w:r>
        <w:rPr>
          <w:rFonts w:ascii="Consolas" w:hAnsi="Consolas"/>
          <w:b w:val="0"/>
          <w:i w:val="0"/>
          <w:sz w:val="18"/>
        </w:rPr>
        <w:t>sensanth</w:t>
      </w:r>
      <w:r>
        <w:rPr>
          <w:b w:val="0"/>
          <w:i w:val="0"/>
        </w:rPr>
        <w:t xml:space="preserve"> and the weekday, Saturday or Sunday hourly </w:t>
      </w:r>
      <w:r>
        <w:rPr>
          <w:rFonts w:ascii="Consolas" w:hAnsi="Consolas"/>
          <w:b w:val="0"/>
          <w:i w:val="0"/>
          <w:sz w:val="18"/>
        </w:rPr>
        <w:t>schtraffic</w:t>
      </w:r>
      <w:r>
        <w:rPr>
          <w:b w:val="0"/>
          <w:i w:val="0"/>
        </w:rPr>
        <w:t xml:space="preserve"> multiplier. The </w:t>
      </w:r>
      <w:r>
        <w:rPr>
          <w:b w:val="0"/>
          <w:i w:val="0"/>
        </w:rPr>
        <w:t xml:space="preserve">baseline</w:t>
      </w:r>
      <w:r>
        <w:rPr>
          <w:b w:val="0"/>
          <w:i w:val="0"/>
        </w:rPr>
        <w:t xml:space="preserve"> configuration</w:t>
      </w:r>
      <w:r>
        <w:rPr>
          <w:b w:val="0"/>
          <w:i w:val="0"/>
        </w:rPr>
        <w:t xml:space="preserve"> includes a diurnal profile. Its nominal 20 W/m2 amplitude produces annual prescribed mean heat of 10.</w:t>
      </w:r>
      <w:r>
        <w:rPr>
          <w:b w:val="0"/>
          <w:i w:val="0"/>
        </w:rPr>
        <w:t xml:space="preserve">01</w:t>
      </w:r>
      <w:r>
        <w:rPr>
          <w:b w:val="0"/>
          <w:i w:val="0"/>
        </w:rPr>
        <w:t xml:space="preserve"> W/m2; 10 and 40 W/m2 alternatives therefore halve and double that mean. The separate </w:t>
      </w:r>
      <w:r>
        <w:rPr>
          <w:rFonts w:ascii="Consolas" w:hAnsi="Consolas"/>
          <w:b w:val="0"/>
          <w:i w:val="0"/>
          <w:sz w:val="18"/>
        </w:rPr>
        <w:t>h_mix</w:t>
      </w:r>
      <w:r>
        <w:rPr>
          <w:b w:val="0"/>
          <w:i w:val="0"/>
        </w:rPr>
        <w:t xml:space="preserve"> parameter allocates building HVAC waste heat to the canyon, with the remainder released from the roof. It is neither boundary-layer depth nor an additional traffic multiplier. Setting it to zero redistributes HVAC heat; it does not eliminate building heat generation.</w:t>
      </w:r>
    </w:p>
    <w:p>
      <w:r>
        <w:rPr>
          <w:b w:val="0"/>
          <w:i w:val="0"/>
        </w:rPr>
        <w:t xml:space="preserve">The model advances its clock before applying the traffic schedule and assigns day types from Julian-day modulo seven rather than the EPW year's civil calendar. All 105,120 five-minute timesteps were counted, including the final midnight. The flat and four-hour-delayed profiles were separately normalised by day type using those exact counts, preserving annual integrated prescribed heat within floating-point tolerance. All schedule multipliers remain between zero and one. </w:t>
      </w:r>
      <w:r>
        <w:rPr>
          <w:rFonts w:ascii="Consolas" w:hAnsi="Consolas"/>
          <w:b w:val="0"/>
          <w:i w:val="0"/>
          <w:sz w:val="18"/>
        </w:rPr>
        <w:t>heat_sensitivity/schedule_audit.json</w:t>
      </w:r>
      <w:r>
        <w:rPr>
          <w:b w:val="0"/>
          <w:i w:val="0"/>
        </w:rPr>
        <w:t xml:space="preserve"> retains the counts and resulting profiles.</w:t>
      </w:r>
    </w:p>
    <w:p>
      <w:r>
        <w:rPr>
          <w:b w:val="0"/>
          <w:i w:val="0"/>
        </w:rPr>
        <w:t>Spatial heterogeneity is represented by opposing diagnostic orderings, not a traffic inventory. For each of the 10,593 original fitting supports, q is the empirical midrank road-fraction percentile: (number below + half the number equal) divided by 10,593. The road-up amplitude is 10 + 20q W/m2 and road-down is 30 - 20q W/m2. Both have exactly 20 W/m2 mean amplitude over the fitting supports. This is not an independent city energy budget because the 500 m supports overlap. Road surface fraction is not traffic volume, speed, vehicle mix or fuel use; the reverse ordering checks dependence on an unobserved heat-morphology relation. The bounds are diagnostic perturbations, not calibrated Torino heat estimates.</w:t>
      </w:r>
    </w:p>
    <w:p>
      <w:r>
        <w:rPr>
          <w:b w:val="0"/>
          <w:i w:val="0"/>
        </w:rPr>
        <w:t>Explicit traffic-heat modelling is motivated by recent work in a different urban model and cities (Sun et al., 2026, DOI 10.1029/2025MS005435), but that study does not validate these Torino proxies or bounds. Its annual-mean flux definition must not be substituted directly for UWG's schedule-multiplied amplitude.</w:t>
      </w:r>
    </w:p>
    <w:p>
      <w:pPr>
        <w:pStyle w:val="Heading2"/>
      </w:pPr>
      <w:r>
        <w:rPr>
          <w:b w:val="0"/>
          <w:i w:val="0"/>
        </w:rPr>
        <w:t>S7.2 Non-medoid selection and comparison</w:t>
      </w:r>
    </w:p>
    <w:p>
      <w:r>
        <w:rPr>
          <w:b w:val="0"/>
          <w:i w:val="0"/>
        </w:rPr>
        <w:t xml:space="preserve">Within each class, the minimum and maximum road-share supports were selected from the 105-support stratified sample (Section S4), with grid-ID tie breaking. Selection was fixed using GIS attributes before simulation. These 14 supports are purposive contrasts and carry no probability weights in this test. Both spatial heat patterns were run for each selected support. The industrial-tail restriction remains in force; no new file or class was adopted.</w:t>
      </w:r>
    </w:p>
    <w:p>
      <w:r>
        <w:rPr>
          <w:b w:val="0"/>
          <w:i w:val="0"/>
        </w:rPr>
        <w:t xml:space="preserve">Each scenario retained the original geometry, climate zone 4A, 3.05 m floor height, 500 m characteristic length, office/apartment stock, materials, boundary-layer and rural/reference parameters. The same pressure-prepared AvMY Caselle source forced January 1 starts with 365 days, 300 s integration and 3600 s weather steps. </w:t>
      </w:r>
      <w:r>
        <w:rPr>
          <w:b w:val="0"/>
          <w:i w:val="0"/>
        </w:rPr>
        <w:t xml:space="preserve">These</w:t>
      </w:r>
      <w:r>
        <w:rPr>
          <w:b w:val="0"/>
          <w:i w:val="0"/>
        </w:rPr>
        <w:t xml:space="preserve"> scenarios are not a synchronized station-calibration experiment.</w:t>
      </w:r>
    </w:p>
    <w:p>
      <w:r>
        <w:rPr>
          <w:b w:val="0"/>
          <w:i w:val="0"/>
        </w:rPr>
        <w:t xml:space="preserve">For each state and writer precision, all 127 nonempty medoid subsets were evaluated. Selection minimises maximum annual hourly dry-bulb RMSE, followed by fitting-support-share-weighted mean RMSE and deterministic identifier ordering. The same criteria as in Section S4 were applied: best-four maximum no greater than 0.10 C; three-to-four improvement at least twice four-to-five improvement; and at most 0.05 C excess maximum error for the baseline representative identities simulated under each scenario. </w:t>
      </w:r>
      <w:r>
        <w:rPr>
          <w:b w:val="0"/>
          <w:i w:val="0"/>
        </w:rPr>
        <w:t xml:space="preserve">The factor of two expresses an engineering diminishing-return requirement: the fifth-file gain should be no more than half the preceding gain. It is a heuristic applied to assess the curve-based working count, not a fitted physical constant. The fixed-set penalty compares the same scenario’s rerun baseline identities, with nearest assignments, against its optimal four-file subset. </w:t>
      </w:r>
      <w:r>
        <w:rPr>
          <w:b w:val="0"/>
          <w:i w:val="0"/>
        </w:rPr>
        <w:t xml:space="preserve">These are engineering diagnostics, not statistical confidence bounds or a global optimisation over the number of weather files.</w:t>
      </w:r>
    </w:p>
    <w:p>
      <w:r>
        <w:rPr>
          <w:b w:val="0"/>
          <w:i w:val="0"/>
        </w:rPr>
        <w:t xml:space="preserve">Comparisons distinguish unchanged baseline C1/C2/C4/C6 files; those identities rerun under each scenario; fixed versus nearest annual assignments; and the scenario-specific best four-file subset. Seasonal and clock-bin errors retain annual assignments. The nine time bins are annual, DJF, JJA, hours 07-18 and 19-06, and the four seasonal day/night combinations. This DJF/JJA convention applies to this additional AvMY sensitivity experiment, while main-text Table 9 retains its half-year seasons.</w:t>
      </w:r>
    </w:p>
    <w:p>
      <w:r>
        <w:rPr>
          <w:b w:val="0"/>
          <w:i w:val="0"/>
        </w:rPr>
        <w:t>Non-medoids were evaluated against their scenario class medoid and the four-file assignment inherited from their morphology class. Their simulated responses were not used to select their own best file or to optimise the seven-medoid subset. Same-support baseline response, Caselle-relative modelled UHI and compression error have separate reference labels in the machine-readable tables.</w:t>
      </w:r>
    </w:p>
    <w:p>
      <w:pPr>
        <w:pStyle w:val="Heading2"/>
      </w:pPr>
      <w:r>
        <w:rPr>
          <w:b w:val="0"/>
          <w:i w:val="0"/>
        </w:rPr>
        <w:t>S7.3 Findings and limits</w:t>
      </w:r>
    </w:p>
    <w:p>
      <w:r>
        <w:rPr>
          <w:b w:val="0"/>
          <w:i w:val="0"/>
        </w:rPr>
        <w:t xml:space="preserve">All nine primary states, including baseline, meet the three stated criteria; best-four maximum annual medoid RMSE is 0.</w:t>
      </w:r>
      <w:r>
        <w:rPr>
          <w:b w:val="0"/>
          <w:i w:val="0"/>
        </w:rPr>
        <w:t xml:space="preserve">035</w:t>
      </w:r>
      <w:r>
        <w:rPr>
          <w:b w:val="0"/>
          <w:i w:val="0"/>
        </w:rPr>
        <w:t xml:space="preserve">-0.</w:t>
      </w:r>
      <w:r>
        <w:rPr>
          <w:b w:val="0"/>
          <w:i w:val="0"/>
        </w:rPr>
        <w:t xml:space="preserve">043</w:t>
      </w:r>
      <w:r>
        <w:rPr>
          <w:b w:val="0"/>
          <w:i w:val="0"/>
        </w:rPr>
        <w:t xml:space="preserve"> C. The largest seasonal day/night error with the annual best-four mapping is 0.</w:t>
      </w:r>
      <w:r>
        <w:rPr>
          <w:b w:val="0"/>
          <w:i w:val="0"/>
        </w:rPr>
        <w:t xml:space="preserve">062</w:t>
      </w:r>
      <w:r>
        <w:rPr>
          <w:b w:val="0"/>
          <w:i w:val="0"/>
        </w:rPr>
        <w:t xml:space="preserve"> C. The weighted secondary optimum changes to C1/C3/C5/C6 for zero HVAC canyon allocation, half allocation and road-up heat. The baseline identity set simulated under each scenario remains equivalent in the primary minimax objective in every state when nearest assignments may change. Hence a secondary-optimum change does not require replacing the representative identities to retain the minimax error, provided their files are rerun under the scenario.</w:t>
      </w:r>
    </w:p>
    <w:p>
      <w:r>
        <w:rPr>
          <w:b w:val="0"/>
          <w:i w:val="0"/>
        </w:rPr>
        <w:t xml:space="preserve">Unchanged files behave differently from scenario-specific compression. With </w:t>
      </w:r>
      <w:r>
        <w:rPr>
          <w:rFonts w:ascii="Consolas" w:hAnsi="Consolas"/>
          <w:b w:val="0"/>
          <w:i w:val="0"/>
          <w:sz w:val="18"/>
        </w:rPr>
        <w:t>h_mix=0</w:t>
      </w:r>
      <w:r>
        <w:rPr>
          <w:b w:val="0"/>
          <w:i w:val="0"/>
        </w:rPr>
        <w:t xml:space="preserve">, the unchanged baseline files and mapping reach maximum annual RMSE 0.</w:t>
      </w:r>
      <w:r>
        <w:rPr>
          <w:b w:val="0"/>
          <w:i w:val="0"/>
        </w:rPr>
        <w:t xml:space="preserve">119</w:t>
      </w:r>
      <w:r>
        <w:rPr>
          <w:b w:val="0"/>
          <w:i w:val="0"/>
        </w:rPr>
        <w:t xml:space="preserve"> C and summer-night RMSE 0.</w:t>
      </w:r>
      <w:r>
        <w:rPr>
          <w:b w:val="0"/>
          <w:i w:val="0"/>
        </w:rPr>
        <w:t xml:space="preserve">260</w:t>
      </w:r>
      <w:r>
        <w:rPr>
          <w:b w:val="0"/>
          <w:i w:val="0"/>
        </w:rPr>
        <w:t xml:space="preserve"> C, while scenario-specific best-four annual compression is 0.</w:t>
      </w:r>
      <w:r>
        <w:rPr>
          <w:b w:val="0"/>
          <w:i w:val="0"/>
        </w:rPr>
        <w:t xml:space="preserve">038</w:t>
      </w:r>
      <w:r>
        <w:rPr>
          <w:b w:val="0"/>
          <w:i w:val="0"/>
        </w:rPr>
        <w:t xml:space="preserve"> C. C6's summer-night mean falls by 0.</w:t>
      </w:r>
      <w:r>
        <w:rPr>
          <w:b w:val="0"/>
          <w:i w:val="0"/>
        </w:rPr>
        <w:t xml:space="preserve">24</w:t>
      </w:r>
      <w:r>
        <w:rPr>
          <w:b w:val="0"/>
          <w:i w:val="0"/>
        </w:rPr>
        <w:t xml:space="preserve"> C and its maximum hourly response is 1.</w:t>
      </w:r>
      <w:r>
        <w:rPr>
          <w:b w:val="0"/>
          <w:i w:val="0"/>
        </w:rPr>
        <w:t xml:space="preserve">11</w:t>
      </w:r>
      <w:r>
        <w:rPr>
          <w:b w:val="0"/>
          <w:i w:val="0"/>
        </w:rPr>
        <w:t xml:space="preserve"> C. These are model responses, not evidence of improved observed-station accuracy or a unique cause of nocturnal bias.</w:t>
      </w:r>
    </w:p>
    <w:p>
      <w:r>
        <w:rPr>
          <w:b w:val="0"/>
          <w:i w:val="0"/>
        </w:rPr>
        <w:t xml:space="preserve">The largest annual same-medoid response RMSE is 0.</w:t>
      </w:r>
      <w:r>
        <w:rPr>
          <w:b w:val="0"/>
          <w:i w:val="0"/>
        </w:rPr>
        <w:t xml:space="preserve">028</w:t>
      </w:r>
      <w:r>
        <w:rPr>
          <w:b w:val="0"/>
          <w:i w:val="0"/>
        </w:rPr>
        <w:t xml:space="preserve">/0.</w:t>
      </w:r>
      <w:r>
        <w:rPr>
          <w:b w:val="0"/>
          <w:i w:val="0"/>
        </w:rPr>
        <w:t xml:space="preserve">047</w:t>
      </w:r>
      <w:r>
        <w:rPr>
          <w:b w:val="0"/>
          <w:i w:val="0"/>
        </w:rPr>
        <w:t xml:space="preserve"> C for the half/double heat amplitudes, and 0.</w:t>
      </w:r>
      <w:r>
        <w:rPr>
          <w:b w:val="0"/>
          <w:i w:val="0"/>
        </w:rPr>
        <w:t xml:space="preserve">037</w:t>
      </w:r>
      <w:r>
        <w:rPr>
          <w:b w:val="0"/>
          <w:i w:val="0"/>
        </w:rPr>
        <w:t xml:space="preserve">/0.</w:t>
      </w:r>
      <w:r>
        <w:rPr>
          <w:b w:val="0"/>
          <w:i w:val="0"/>
        </w:rPr>
        <w:t xml:space="preserve">039</w:t>
      </w:r>
      <w:r>
        <w:rPr>
          <w:b w:val="0"/>
          <w:i w:val="0"/>
        </w:rPr>
        <w:t xml:space="preserve"> C for flat/delayed profiles. Spatial heat gives maxima near 0.025 C annually, although individual hourly differences reach approximately 0.42-0.50 C. The selected non-medoid maximum against its own class medoid is 0.</w:t>
      </w:r>
      <w:r>
        <w:rPr>
          <w:b w:val="0"/>
          <w:i w:val="0"/>
        </w:rPr>
        <w:t xml:space="preserve">349</w:t>
      </w:r>
      <w:r>
        <w:rPr>
          <w:b w:val="0"/>
          <w:i w:val="0"/>
        </w:rPr>
        <w:t xml:space="preserve"> C at baseline and 0.</w:t>
      </w:r>
      <w:r>
        <w:rPr>
          <w:b w:val="0"/>
          <w:i w:val="0"/>
        </w:rPr>
        <w:t xml:space="preserve">347</w:t>
      </w:r>
      <w:r>
        <w:rPr>
          <w:b w:val="0"/>
          <w:i w:val="0"/>
        </w:rPr>
        <w:t xml:space="preserve">/0.</w:t>
      </w:r>
      <w:r>
        <w:rPr>
          <w:b w:val="0"/>
          <w:i w:val="0"/>
        </w:rPr>
        <w:t xml:space="preserve">363</w:t>
      </w:r>
      <w:r>
        <w:rPr>
          <w:b w:val="0"/>
          <w:i w:val="0"/>
        </w:rPr>
        <w:t xml:space="preserve"> C for road-up/road-down; grid 921 (C6) remains the maximum. Those sample maxima are not citywide percentiles or bounds for unsimulated supports.</w:t>
      </w:r>
    </w:p>
    <w:p>
      <w:r>
        <w:rPr>
          <w:b w:val="0"/>
          <w:i w:val="0"/>
        </w:rPr>
        <w:t xml:space="preserve">At three-decimal precision, three files meet the 0.10 C tolerance in seven states and two do in the two HVAC-allocation states. Four is therefore not the minimum count implied by this tolerance alone. At one decimal, road-down fails the improvement-ratio criterion (0.</w:t>
      </w:r>
      <w:r>
        <w:rPr>
          <w:b w:val="0"/>
          <w:i w:val="0"/>
        </w:rPr>
        <w:t xml:space="preserve">98</w:t>
      </w:r>
      <w:r>
        <w:rPr>
          <w:b w:val="0"/>
          <w:i w:val="0"/>
        </w:rPr>
        <w:t xml:space="preserve"> rather than at least 2), despite acceptable four-file RMSE of 0.</w:t>
      </w:r>
      <w:r>
        <w:rPr>
          <w:b w:val="0"/>
          <w:i w:val="0"/>
        </w:rPr>
        <w:t xml:space="preserve">059</w:t>
      </w:r>
      <w:r>
        <w:rPr>
          <w:b w:val="0"/>
          <w:i w:val="0"/>
        </w:rPr>
        <w:t xml:space="preserve"> C. Half-HVAC also changes preferred representatives between precisions. Thus the curve criterion is not fully serialization-invariant. Global sensitivity, parameter interactions, observed traffic and local stock or activity calibration remain outside the tested scope.</w:t>
      </w:r>
    </w:p>
    <w:p>
      <w:pPr>
        <w:pStyle w:val="Heading2"/>
      </w:pPr>
      <w:r>
        <w:rPr>
          <w:b w:val="0"/>
          <w:i w:val="0"/>
        </w:rPr>
        <w:t>S7.4 Reproducibility and verification</w:t>
      </w:r>
    </w:p>
    <w:p>
      <w:r>
        <w:rPr>
          <w:b w:val="0"/>
          <w:i w:val="0"/>
        </w:rPr>
        <w:t xml:space="preserve">The 84 scenario integrations completed successfully in 960.4 seconds with four workers, with 3766.</w:t>
      </w:r>
      <w:r>
        <w:rPr>
          <w:b w:val="0"/>
          <w:i w:val="0"/>
        </w:rPr>
        <w:t xml:space="preserve">7</w:t>
      </w:r>
      <w:r>
        <w:rPr>
          <w:b w:val="0"/>
          <w:i w:val="0"/>
        </w:rPr>
        <w:t xml:space="preserve"> seconds summed worker time. Separate verification checked 210 EPW serializations (168 new and 42 reused), input hashes and intended changed keys, timestamp/schema identity, schedule integrals, subset optimisation and period metrics. The maximum curve discrepancy recalculated with a separate script was 2.78e-17 C. No tested output had relative humidity outside 0-100% or dew point above dry bulb. Verification was written within the same project, not performed by an external independent team; it does not establish physical realism.</w:t>
      </w:r>
    </w:p>
    <w:p>
      <w:r>
        <w:rPr>
          <w:b w:val="0"/>
          <w:i w:val="0"/>
        </w:rPr>
        <w:t xml:space="preserve">The accompanying heat-sensitivity folder contains 105 exact per-run JSONs (84 alternatives and 21 baselines), portable run provenance, expected EPW hashes, selection and schedule data, full comparisons and a resumable simulation script. The original 8760-hour AvMY Caselle forcing must be obtained separately from the companion dataset and verified against its recorded hash. No weather inputs or generated EPWs are embedded in this lightweight supplement. The runner regenerates these files using the documented source data and local output paths supplied by the user. Its README specifies the commands, output-precision checks and runtime version. The executable extension reproduces the heat-sensitivity simulations, but not the entire GIS and clustering pipeline. Section S6 describes the repository's other capabilities and limitations.</w:t>
      </w:r>
    </w:p>
    <w:p>
      <w:pPr>
        <w:pStyle w:val="Heading2"/>
      </w:pPr>
      <w:r>
        <w:rPr>
          <w:b w:val="0"/>
          <w:i w:val="0"/>
        </w:rPr>
        <w:t>Additional reference</w:t>
      </w:r>
    </w:p>
    <w:p>
      <w:r>
        <w:rPr>
          <w:b w:val="0"/>
          <w:i w:val="0"/>
        </w:rPr>
        <w:t xml:space="preserve">Sun, Y., Oleson, K. W., and Zheng, Z. (2026). Modeling Urban Traffic Heat Flux in the Community Earth System Model: Formulation and Validation for Two Test Sites. Journal of Advances in Modeling Earth Systems, 18(4), e2025MS005435. </w:t>
      </w:r>
      <w:r>
        <w:rPr>
          <w:b w:val="0"/>
          <w:i w:val="0"/>
        </w:rPr>
        <w:t>https://doi.org/10.1029/2025MS005435</w:t>
      </w:r>
    </w:p>
    <w:p>
      <w:pPr>
        <w:pStyle w:val="Heading1"/>
      </w:pPr>
      <w:r>
        <w:rPr>
          <w:b w:val="0"/>
          <w:i w:val="0"/>
        </w:rPr>
        <w:t>Supplementary Table S1</w:t>
      </w:r>
    </w:p>
    <w:p>
      <w:pPr>
        <w:keepNext/>
      </w:pPr>
      <w:r>
        <w:rPr>
          <w:b w:val="0"/>
          <w:i w:val="0"/>
        </w:rPr>
        <w:t xml:space="preserve">Complete minimax curve under the common UWG configuration. </w:t>
      </w:r>
      <w:r>
        <w:rPr>
          <w:b w:val="0"/>
          <w:i w:val="0"/>
        </w:rPr>
        <w:t xml:space="preserve">RMSE</w:t>
      </w:r>
      <w:r>
        <w:rPr>
          <w:b w:val="0"/>
          <w:i w:val="0"/>
        </w:rPr>
        <w:t xml:space="preserve"> </w:t>
      </w:r>
      <w:r>
        <w:rPr>
          <w:b w:val="0"/>
          <w:i w:val="0"/>
        </w:rPr>
        <w:t xml:space="preserve">values</w:t>
      </w:r>
      <w:r>
        <w:rPr>
          <w:b w:val="0"/>
          <w:i w:val="0"/>
        </w:rPr>
        <w:t xml:space="preserve"> </w:t>
      </w:r>
      <w:r>
        <w:rPr>
          <w:b w:val="0"/>
          <w:i w:val="0"/>
        </w:rPr>
        <w:t xml:space="preserve">are displayed to three decimal places; unrounded values are retained in the companion CSV. The displayed precision describes</w:t>
      </w:r>
      <w:r>
        <w:rPr>
          <w:b w:val="0"/>
          <w:i w:val="0"/>
        </w:rPr>
        <w:t xml:space="preserve"> numerical </w:t>
      </w:r>
      <w:r>
        <w:rPr>
          <w:b w:val="0"/>
          <w:i w:val="0"/>
        </w:rPr>
        <w:t xml:space="preserve">diagnostics,</w:t>
      </w:r>
      <w:r>
        <w:rPr>
          <w:b w:val="0"/>
          <w:i w:val="0"/>
        </w:rPr>
        <w:t xml:space="preserve"> not</w:t>
      </w:r>
      <w:r>
        <w:rPr>
          <w:b w:val="0"/>
          <w:i w:val="0"/>
        </w:rPr>
        <w:t xml:space="preserve"> physical accuracy.</w:t>
      </w:r>
    </w:p>
    <w:tbl>
      <w:tblPr>
        <w:tblStyle w:val="TableGrid"/>
        <w:tblW w:type="auto" w:w="0"/>
        <w:tblLayout w:type="fixed"/>
        <w:tblLook w:firstColumn="1" w:firstRow="1" w:lastColumn="0" w:lastRow="0" w:noHBand="0" w:noVBand="1" w:val="04A0"/>
      </w:tblPr>
      <w:tblGrid>
        <w:gridCol w:w="1153"/>
        <w:gridCol w:w="768"/>
        <w:gridCol w:w="4034"/>
        <w:gridCol w:w="1825"/>
        <w:gridCol w:w="1825"/>
      </w:tblGrid>
      <w:tr>
        <w:trPr>
          <w:cantSplit/>
          <w:tblHeader/>
        </w:trPr>
        <w:tc>
          <w:tcPr>
            <w:tcW w:type="dxa" w:w="1153"/>
            <w:shd w:fill="F0F0F0"/>
          </w:tcPr>
          <w:p>
            <w:pPr>
              <w:spacing w:after="80" w:before="80"/>
            </w:pPr>
            <w:r>
              <w:rPr>
                <w:b/>
                <w:i w:val="0"/>
                <w:sz w:val="19"/>
              </w:rPr>
              <w:t>Writer decimals</w:t>
            </w:r>
          </w:p>
        </w:tc>
        <w:tc>
          <w:tcPr>
            <w:tcW w:type="dxa" w:w="768"/>
            <w:shd w:fill="F0F0F0"/>
          </w:tcPr>
          <w:p>
            <w:pPr>
              <w:spacing w:after="80" w:before="80"/>
            </w:pPr>
            <w:r>
              <w:rPr>
                <w:b/>
                <w:i w:val="0"/>
                <w:sz w:val="19"/>
              </w:rPr>
              <w:t>Files</w:t>
            </w:r>
          </w:p>
        </w:tc>
        <w:tc>
          <w:tcPr>
            <w:tcW w:type="dxa" w:w="4034"/>
            <w:shd w:fill="F0F0F0"/>
          </w:tcPr>
          <w:p>
            <w:pPr>
              <w:spacing w:after="80" w:before="80"/>
            </w:pPr>
            <w:r>
              <w:rPr>
                <w:b/>
                <w:i w:val="0"/>
                <w:sz w:val="19"/>
              </w:rPr>
              <w:t>Representatives</w:t>
            </w:r>
          </w:p>
        </w:tc>
        <w:tc>
          <w:tcPr>
            <w:tcW w:type="dxa" w:w="1825"/>
            <w:shd w:fill="F0F0F0"/>
          </w:tcPr>
          <w:p>
            <w:pPr>
              <w:spacing w:after="80" w:before="80"/>
            </w:pPr>
            <w:r>
              <w:rPr>
                <w:b/>
                <w:i w:val="0"/>
                <w:sz w:val="19"/>
              </w:rPr>
              <w:t>Maximum RMSE (°C)</w:t>
            </w:r>
          </w:p>
        </w:tc>
        <w:tc>
          <w:tcPr>
            <w:tcW w:type="dxa" w:w="1825"/>
            <w:shd w:fill="F0F0F0"/>
          </w:tcPr>
          <w:p>
            <w:pPr>
              <w:spacing w:after="80" w:before="80"/>
            </w:pPr>
            <w:r>
              <w:rPr>
                <w:b/>
                <w:i w:val="0"/>
                <w:sz w:val="19"/>
              </w:rPr>
              <w:t>Weighted mean RMSE (°C)</w:t>
            </w:r>
          </w:p>
        </w:tc>
      </w:tr>
      <w:tr>
        <w:trPr>
          <w:cantSplit/>
        </w:trPr>
        <w:tc>
          <w:tcPr>
            <w:tcW w:type="dxa" w:w="1153"/>
          </w:tcPr>
          <w:p>
            <w:pPr>
              <w:spacing w:after="80" w:before="80"/>
            </w:pPr>
            <w:r>
              <w:rPr>
                <w:b w:val="0"/>
                <w:i w:val="0"/>
                <w:sz w:val="19"/>
              </w:rPr>
              <w:t>1</w:t>
            </w:r>
          </w:p>
        </w:tc>
        <w:tc>
          <w:tcPr>
            <w:tcW w:type="dxa" w:w="768"/>
          </w:tcPr>
          <w:p>
            <w:pPr>
              <w:spacing w:after="80" w:before="80"/>
            </w:pPr>
            <w:r>
              <w:rPr>
                <w:b w:val="0"/>
                <w:i w:val="0"/>
                <w:sz w:val="19"/>
              </w:rPr>
              <w:t>1</w:t>
            </w:r>
          </w:p>
        </w:tc>
        <w:tc>
          <w:tcPr>
            <w:tcW w:type="dxa" w:w="4034"/>
          </w:tcPr>
          <w:p>
            <w:pPr>
              <w:spacing w:after="80" w:before="80"/>
            </w:pPr>
            <w:r>
              <w:rPr>
                <w:b w:val="0"/>
                <w:i w:val="0"/>
                <w:sz w:val="19"/>
              </w:rPr>
              <w:t>k7-C4</w:t>
            </w:r>
          </w:p>
        </w:tc>
        <w:tc>
          <w:tcPr>
            <w:tcW w:type="dxa" w:w="1825"/>
          </w:tcPr>
          <w:p>
            <w:pPr>
              <w:spacing w:after="80" w:before="80"/>
            </w:pPr>
            <w:r>
              <w:rPr>
                <w:b w:val="0"/>
                <w:i w:val="0"/>
                <w:sz w:val="19"/>
              </w:rPr>
              <w:t xml:space="preserve">0.</w:t>
            </w:r>
            <w:r>
              <w:rPr>
                <w:b w:val="0"/>
                <w:i w:val="0"/>
                <w:sz w:val="19"/>
              </w:rPr>
              <w:t xml:space="preserve">166</w:t>
            </w:r>
          </w:p>
        </w:tc>
        <w:tc>
          <w:tcPr>
            <w:tcW w:type="dxa" w:w="1825"/>
          </w:tcPr>
          <w:p>
            <w:pPr>
              <w:spacing w:after="80" w:before="80"/>
            </w:pPr>
            <w:r>
              <w:rPr>
                <w:b w:val="0"/>
                <w:i w:val="0"/>
                <w:sz w:val="19"/>
              </w:rPr>
              <w:t xml:space="preserve">0.</w:t>
            </w:r>
            <w:r>
              <w:rPr>
                <w:b w:val="0"/>
                <w:i w:val="0"/>
                <w:sz w:val="19"/>
              </w:rPr>
              <w:t xml:space="preserve">086</w:t>
            </w:r>
          </w:p>
        </w:tc>
      </w:tr>
      <w:tr>
        <w:trPr>
          <w:cantSplit/>
        </w:trPr>
        <w:tc>
          <w:tcPr>
            <w:tcW w:type="dxa" w:w="1153"/>
          </w:tcPr>
          <w:p>
            <w:pPr>
              <w:spacing w:after="80" w:before="80"/>
            </w:pPr>
            <w:r>
              <w:rPr>
                <w:b w:val="0"/>
                <w:i w:val="0"/>
                <w:sz w:val="19"/>
              </w:rPr>
              <w:t>1</w:t>
            </w:r>
          </w:p>
        </w:tc>
        <w:tc>
          <w:tcPr>
            <w:tcW w:type="dxa" w:w="768"/>
          </w:tcPr>
          <w:p>
            <w:pPr>
              <w:spacing w:after="80" w:before="80"/>
            </w:pPr>
            <w:r>
              <w:rPr>
                <w:b w:val="0"/>
                <w:i w:val="0"/>
                <w:sz w:val="19"/>
              </w:rPr>
              <w:t>2</w:t>
            </w:r>
          </w:p>
        </w:tc>
        <w:tc>
          <w:tcPr>
            <w:tcW w:type="dxa" w:w="4034"/>
          </w:tcPr>
          <w:p>
            <w:pPr>
              <w:spacing w:after="80" w:before="80"/>
            </w:pPr>
            <w:r>
              <w:rPr>
                <w:b w:val="0"/>
                <w:i w:val="0"/>
                <w:sz w:val="19"/>
              </w:rPr>
              <w:t>k7-C2;k7-C6</w:t>
            </w:r>
          </w:p>
        </w:tc>
        <w:tc>
          <w:tcPr>
            <w:tcW w:type="dxa" w:w="1825"/>
          </w:tcPr>
          <w:p>
            <w:pPr>
              <w:spacing w:after="80" w:before="80"/>
            </w:pPr>
            <w:r>
              <w:rPr>
                <w:b w:val="0"/>
                <w:i w:val="0"/>
                <w:sz w:val="19"/>
              </w:rPr>
              <w:t xml:space="preserve">0.</w:t>
            </w:r>
            <w:r>
              <w:rPr>
                <w:b w:val="0"/>
                <w:i w:val="0"/>
                <w:sz w:val="19"/>
              </w:rPr>
              <w:t xml:space="preserve">118</w:t>
            </w:r>
          </w:p>
        </w:tc>
        <w:tc>
          <w:tcPr>
            <w:tcW w:type="dxa" w:w="1825"/>
          </w:tcPr>
          <w:p>
            <w:pPr>
              <w:spacing w:after="80" w:before="80"/>
            </w:pPr>
            <w:r>
              <w:rPr>
                <w:b w:val="0"/>
                <w:i w:val="0"/>
                <w:sz w:val="19"/>
              </w:rPr>
              <w:t xml:space="preserve">0.</w:t>
            </w:r>
            <w:r>
              <w:rPr>
                <w:b w:val="0"/>
                <w:i w:val="0"/>
                <w:sz w:val="19"/>
              </w:rPr>
              <w:t xml:space="preserve">078</w:t>
            </w:r>
          </w:p>
        </w:tc>
      </w:tr>
      <w:tr>
        <w:trPr>
          <w:cantSplit/>
        </w:trPr>
        <w:tc>
          <w:tcPr>
            <w:tcW w:type="dxa" w:w="1153"/>
          </w:tcPr>
          <w:p>
            <w:pPr>
              <w:spacing w:after="80" w:before="80"/>
            </w:pPr>
            <w:r>
              <w:rPr>
                <w:b w:val="0"/>
                <w:i w:val="0"/>
                <w:sz w:val="19"/>
              </w:rPr>
              <w:t>1</w:t>
            </w:r>
          </w:p>
        </w:tc>
        <w:tc>
          <w:tcPr>
            <w:tcW w:type="dxa" w:w="768"/>
          </w:tcPr>
          <w:p>
            <w:pPr>
              <w:spacing w:after="80" w:before="80"/>
            </w:pPr>
            <w:r>
              <w:rPr>
                <w:b w:val="0"/>
                <w:i w:val="0"/>
                <w:sz w:val="19"/>
              </w:rPr>
              <w:t>3</w:t>
            </w:r>
          </w:p>
        </w:tc>
        <w:tc>
          <w:tcPr>
            <w:tcW w:type="dxa" w:w="4034"/>
          </w:tcPr>
          <w:p>
            <w:pPr>
              <w:spacing w:after="80" w:before="80"/>
            </w:pPr>
            <w:r>
              <w:rPr>
                <w:b w:val="0"/>
                <w:i w:val="0"/>
                <w:sz w:val="19"/>
              </w:rPr>
              <w:t>k7-C1;k7-C4;k7-C6</w:t>
            </w:r>
          </w:p>
        </w:tc>
        <w:tc>
          <w:tcPr>
            <w:tcW w:type="dxa" w:w="1825"/>
          </w:tcPr>
          <w:p>
            <w:pPr>
              <w:spacing w:after="80" w:before="80"/>
            </w:pPr>
            <w:r>
              <w:rPr>
                <w:b w:val="0"/>
                <w:i w:val="0"/>
                <w:sz w:val="19"/>
              </w:rPr>
              <w:t xml:space="preserve">0.</w:t>
            </w:r>
            <w:r>
              <w:rPr>
                <w:b w:val="0"/>
                <w:i w:val="0"/>
                <w:sz w:val="19"/>
              </w:rPr>
              <w:t xml:space="preserve">080</w:t>
            </w:r>
          </w:p>
        </w:tc>
        <w:tc>
          <w:tcPr>
            <w:tcW w:type="dxa" w:w="1825"/>
          </w:tcPr>
          <w:p>
            <w:pPr>
              <w:spacing w:after="80" w:before="80"/>
            </w:pPr>
            <w:r>
              <w:rPr>
                <w:b w:val="0"/>
                <w:i w:val="0"/>
                <w:sz w:val="19"/>
              </w:rPr>
              <w:t xml:space="preserve">0.</w:t>
            </w:r>
            <w:r>
              <w:rPr>
                <w:b w:val="0"/>
                <w:i w:val="0"/>
                <w:sz w:val="19"/>
              </w:rPr>
              <w:t xml:space="preserve">038</w:t>
            </w:r>
          </w:p>
        </w:tc>
      </w:tr>
      <w:tr>
        <w:trPr>
          <w:cantSplit/>
        </w:trPr>
        <w:tc>
          <w:tcPr>
            <w:tcW w:type="dxa" w:w="1153"/>
          </w:tcPr>
          <w:p>
            <w:pPr>
              <w:spacing w:after="80" w:before="80"/>
            </w:pPr>
            <w:r>
              <w:rPr>
                <w:b w:val="0"/>
                <w:i w:val="0"/>
                <w:sz w:val="19"/>
              </w:rPr>
              <w:t>1</w:t>
            </w:r>
          </w:p>
        </w:tc>
        <w:tc>
          <w:tcPr>
            <w:tcW w:type="dxa" w:w="768"/>
          </w:tcPr>
          <w:p>
            <w:pPr>
              <w:spacing w:after="80" w:before="80"/>
            </w:pPr>
            <w:r>
              <w:rPr>
                <w:b w:val="0"/>
                <w:i w:val="0"/>
                <w:sz w:val="19"/>
              </w:rPr>
              <w:t>4</w:t>
            </w:r>
          </w:p>
        </w:tc>
        <w:tc>
          <w:tcPr>
            <w:tcW w:type="dxa" w:w="4034"/>
          </w:tcPr>
          <w:p>
            <w:pPr>
              <w:spacing w:after="80" w:before="80"/>
            </w:pPr>
            <w:r>
              <w:rPr>
                <w:b w:val="0"/>
                <w:i w:val="0"/>
                <w:sz w:val="19"/>
              </w:rPr>
              <w:t>k7-C1;k7-C2;k7-C4;k7-C6</w:t>
            </w:r>
          </w:p>
        </w:tc>
        <w:tc>
          <w:tcPr>
            <w:tcW w:type="dxa" w:w="1825"/>
          </w:tcPr>
          <w:p>
            <w:pPr>
              <w:spacing w:after="80" w:before="80"/>
            </w:pPr>
            <w:r>
              <w:rPr>
                <w:b w:val="0"/>
                <w:i w:val="0"/>
                <w:sz w:val="19"/>
              </w:rPr>
              <w:t xml:space="preserve">0.</w:t>
            </w:r>
            <w:r>
              <w:rPr>
                <w:b w:val="0"/>
                <w:i w:val="0"/>
                <w:sz w:val="19"/>
              </w:rPr>
              <w:t xml:space="preserve">058</w:t>
            </w:r>
          </w:p>
        </w:tc>
        <w:tc>
          <w:tcPr>
            <w:tcW w:type="dxa" w:w="1825"/>
          </w:tcPr>
          <w:p>
            <w:pPr>
              <w:spacing w:after="80" w:before="80"/>
            </w:pPr>
            <w:r>
              <w:rPr>
                <w:b w:val="0"/>
                <w:i w:val="0"/>
                <w:sz w:val="19"/>
              </w:rPr>
              <w:t xml:space="preserve">0.</w:t>
            </w:r>
            <w:r>
              <w:rPr>
                <w:b w:val="0"/>
                <w:i w:val="0"/>
                <w:sz w:val="19"/>
              </w:rPr>
              <w:t xml:space="preserve">030</w:t>
            </w:r>
          </w:p>
        </w:tc>
      </w:tr>
      <w:tr>
        <w:trPr>
          <w:cantSplit/>
        </w:trPr>
        <w:tc>
          <w:tcPr>
            <w:tcW w:type="dxa" w:w="1153"/>
          </w:tcPr>
          <w:p>
            <w:pPr>
              <w:spacing w:after="80" w:before="80"/>
            </w:pPr>
            <w:r>
              <w:rPr>
                <w:b w:val="0"/>
                <w:i w:val="0"/>
                <w:sz w:val="19"/>
              </w:rPr>
              <w:t>1</w:t>
            </w:r>
          </w:p>
        </w:tc>
        <w:tc>
          <w:tcPr>
            <w:tcW w:type="dxa" w:w="768"/>
          </w:tcPr>
          <w:p>
            <w:pPr>
              <w:spacing w:after="80" w:before="80"/>
            </w:pPr>
            <w:r>
              <w:rPr>
                <w:b w:val="0"/>
                <w:i w:val="0"/>
                <w:sz w:val="19"/>
              </w:rPr>
              <w:t>5</w:t>
            </w:r>
          </w:p>
        </w:tc>
        <w:tc>
          <w:tcPr>
            <w:tcW w:type="dxa" w:w="4034"/>
          </w:tcPr>
          <w:p>
            <w:pPr>
              <w:spacing w:after="80" w:before="80"/>
            </w:pPr>
            <w:r>
              <w:rPr>
                <w:b w:val="0"/>
                <w:i w:val="0"/>
                <w:sz w:val="19"/>
              </w:rPr>
              <w:t>k7-C1;k7-C2;k7-C3;k7-C5;k7-C6</w:t>
            </w:r>
          </w:p>
        </w:tc>
        <w:tc>
          <w:tcPr>
            <w:tcW w:type="dxa" w:w="1825"/>
          </w:tcPr>
          <w:p>
            <w:pPr>
              <w:spacing w:after="80" w:before="80"/>
            </w:pPr>
            <w:r>
              <w:rPr>
                <w:b w:val="0"/>
                <w:i w:val="0"/>
                <w:sz w:val="19"/>
              </w:rPr>
              <w:t xml:space="preserve">0.</w:t>
            </w:r>
            <w:r>
              <w:rPr>
                <w:b w:val="0"/>
                <w:i w:val="0"/>
                <w:sz w:val="19"/>
              </w:rPr>
              <w:t xml:space="preserve">056</w:t>
            </w:r>
          </w:p>
        </w:tc>
        <w:tc>
          <w:tcPr>
            <w:tcW w:type="dxa" w:w="1825"/>
          </w:tcPr>
          <w:p>
            <w:pPr>
              <w:spacing w:after="80" w:before="80"/>
            </w:pPr>
            <w:r>
              <w:rPr>
                <w:b w:val="0"/>
                <w:i w:val="0"/>
                <w:sz w:val="19"/>
              </w:rPr>
              <w:t xml:space="preserve">0.</w:t>
            </w:r>
            <w:r>
              <w:rPr>
                <w:b w:val="0"/>
                <w:i w:val="0"/>
                <w:sz w:val="19"/>
              </w:rPr>
              <w:t xml:space="preserve">014</w:t>
            </w:r>
          </w:p>
        </w:tc>
      </w:tr>
      <w:tr>
        <w:trPr>
          <w:cantSplit/>
        </w:trPr>
        <w:tc>
          <w:tcPr>
            <w:tcW w:type="dxa" w:w="1153"/>
          </w:tcPr>
          <w:p>
            <w:pPr>
              <w:spacing w:after="80" w:before="80"/>
            </w:pPr>
            <w:r>
              <w:rPr>
                <w:b w:val="0"/>
                <w:i w:val="0"/>
                <w:sz w:val="19"/>
              </w:rPr>
              <w:t>1</w:t>
            </w:r>
          </w:p>
        </w:tc>
        <w:tc>
          <w:tcPr>
            <w:tcW w:type="dxa" w:w="768"/>
          </w:tcPr>
          <w:p>
            <w:pPr>
              <w:spacing w:after="80" w:before="80"/>
            </w:pPr>
            <w:r>
              <w:rPr>
                <w:b w:val="0"/>
                <w:i w:val="0"/>
                <w:sz w:val="19"/>
              </w:rPr>
              <w:t>6</w:t>
            </w:r>
          </w:p>
        </w:tc>
        <w:tc>
          <w:tcPr>
            <w:tcW w:type="dxa" w:w="4034"/>
          </w:tcPr>
          <w:p>
            <w:pPr>
              <w:spacing w:after="80" w:before="80"/>
            </w:pPr>
            <w:r>
              <w:rPr>
                <w:b w:val="0"/>
                <w:i w:val="0"/>
                <w:sz w:val="19"/>
              </w:rPr>
              <w:t>k7-C1;k7-C2;k7-C3;k7-C4;k7-C5;k7-C6</w:t>
            </w:r>
          </w:p>
        </w:tc>
        <w:tc>
          <w:tcPr>
            <w:tcW w:type="dxa" w:w="1825"/>
          </w:tcPr>
          <w:p>
            <w:pPr>
              <w:spacing w:after="80" w:before="80"/>
            </w:pPr>
            <w:r>
              <w:rPr>
                <w:b w:val="0"/>
                <w:i w:val="0"/>
                <w:sz w:val="19"/>
              </w:rPr>
              <w:t xml:space="preserve">0.</w:t>
            </w:r>
            <w:r>
              <w:rPr>
                <w:b w:val="0"/>
                <w:i w:val="0"/>
                <w:sz w:val="19"/>
              </w:rPr>
              <w:t xml:space="preserve">045</w:t>
            </w:r>
          </w:p>
        </w:tc>
        <w:tc>
          <w:tcPr>
            <w:tcW w:type="dxa" w:w="1825"/>
          </w:tcPr>
          <w:p>
            <w:pPr>
              <w:spacing w:after="80" w:before="80"/>
            </w:pPr>
            <w:r>
              <w:rPr>
                <w:b w:val="0"/>
                <w:i w:val="0"/>
                <w:sz w:val="19"/>
              </w:rPr>
              <w:t xml:space="preserve">0.</w:t>
            </w:r>
            <w:r>
              <w:rPr>
                <w:b w:val="0"/>
                <w:i w:val="0"/>
                <w:sz w:val="19"/>
              </w:rPr>
              <w:t xml:space="preserve">006</w:t>
            </w:r>
          </w:p>
        </w:tc>
      </w:tr>
      <w:tr>
        <w:trPr>
          <w:cantSplit/>
        </w:trPr>
        <w:tc>
          <w:tcPr>
            <w:tcW w:type="dxa" w:w="1153"/>
          </w:tcPr>
          <w:p>
            <w:pPr>
              <w:spacing w:after="80" w:before="80"/>
            </w:pPr>
            <w:r>
              <w:rPr>
                <w:b w:val="0"/>
                <w:i w:val="0"/>
                <w:sz w:val="19"/>
              </w:rPr>
              <w:t>1</w:t>
            </w:r>
          </w:p>
        </w:tc>
        <w:tc>
          <w:tcPr>
            <w:tcW w:type="dxa" w:w="768"/>
          </w:tcPr>
          <w:p>
            <w:pPr>
              <w:spacing w:after="80" w:before="80"/>
            </w:pPr>
            <w:r>
              <w:rPr>
                <w:b w:val="0"/>
                <w:i w:val="0"/>
                <w:sz w:val="19"/>
              </w:rPr>
              <w:t>7</w:t>
            </w:r>
          </w:p>
        </w:tc>
        <w:tc>
          <w:tcPr>
            <w:tcW w:type="dxa" w:w="4034"/>
          </w:tcPr>
          <w:p>
            <w:pPr>
              <w:spacing w:after="80" w:before="80"/>
            </w:pPr>
            <w:r>
              <w:rPr>
                <w:b w:val="0"/>
                <w:i w:val="0"/>
                <w:sz w:val="19"/>
              </w:rPr>
              <w:t>k7-C0;k7-C1;k7-C2;k7-C3;k7-C4;k7-C5;k7-C6</w:t>
            </w:r>
          </w:p>
        </w:tc>
        <w:tc>
          <w:tcPr>
            <w:tcW w:type="dxa" w:w="1825"/>
          </w:tcPr>
          <w:p>
            <w:pPr>
              <w:spacing w:after="80" w:before="80"/>
            </w:pPr>
            <w:r>
              <w:rPr>
                <w:b w:val="0"/>
                <w:i w:val="0"/>
                <w:sz w:val="19"/>
              </w:rPr>
              <w:t xml:space="preserve">0.</w:t>
            </w:r>
            <w:r>
              <w:rPr>
                <w:b w:val="0"/>
                <w:i w:val="0"/>
                <w:sz w:val="19"/>
              </w:rPr>
              <w:t xml:space="preserve">000</w:t>
            </w:r>
          </w:p>
        </w:tc>
        <w:tc>
          <w:tcPr>
            <w:tcW w:type="dxa" w:w="1825"/>
          </w:tcPr>
          <w:p>
            <w:pPr>
              <w:spacing w:after="80" w:before="80"/>
            </w:pPr>
            <w:r>
              <w:rPr>
                <w:b w:val="0"/>
                <w:i w:val="0"/>
                <w:sz w:val="19"/>
              </w:rPr>
              <w:t xml:space="preserve">0.</w:t>
            </w:r>
            <w:r>
              <w:rPr>
                <w:b w:val="0"/>
                <w:i w:val="0"/>
                <w:sz w:val="19"/>
              </w:rPr>
              <w:t xml:space="preserve">000</w:t>
            </w:r>
          </w:p>
        </w:tc>
      </w:tr>
      <w:tr>
        <w:trPr>
          <w:cantSplit/>
        </w:trPr>
        <w:tc>
          <w:tcPr>
            <w:tcW w:type="dxa" w:w="1153"/>
          </w:tcPr>
          <w:p>
            <w:pPr>
              <w:spacing w:after="80" w:before="80"/>
            </w:pPr>
            <w:r>
              <w:rPr>
                <w:b w:val="0"/>
                <w:i w:val="0"/>
                <w:sz w:val="19"/>
              </w:rPr>
              <w:t>3</w:t>
            </w:r>
          </w:p>
        </w:tc>
        <w:tc>
          <w:tcPr>
            <w:tcW w:type="dxa" w:w="768"/>
          </w:tcPr>
          <w:p>
            <w:pPr>
              <w:spacing w:after="80" w:before="80"/>
            </w:pPr>
            <w:r>
              <w:rPr>
                <w:b w:val="0"/>
                <w:i w:val="0"/>
                <w:sz w:val="19"/>
              </w:rPr>
              <w:t>1</w:t>
            </w:r>
          </w:p>
        </w:tc>
        <w:tc>
          <w:tcPr>
            <w:tcW w:type="dxa" w:w="4034"/>
          </w:tcPr>
          <w:p>
            <w:pPr>
              <w:spacing w:after="80" w:before="80"/>
            </w:pPr>
            <w:r>
              <w:rPr>
                <w:b w:val="0"/>
                <w:i w:val="0"/>
                <w:sz w:val="19"/>
              </w:rPr>
              <w:t>k7-C4</w:t>
            </w:r>
          </w:p>
        </w:tc>
        <w:tc>
          <w:tcPr>
            <w:tcW w:type="dxa" w:w="1825"/>
          </w:tcPr>
          <w:p>
            <w:pPr>
              <w:spacing w:after="80" w:before="80"/>
            </w:pPr>
            <w:r>
              <w:rPr>
                <w:b w:val="0"/>
                <w:i w:val="0"/>
                <w:sz w:val="19"/>
              </w:rPr>
              <w:t xml:space="preserve">0.</w:t>
            </w:r>
            <w:r>
              <w:rPr>
                <w:b w:val="0"/>
                <w:i w:val="0"/>
                <w:sz w:val="19"/>
              </w:rPr>
              <w:t xml:space="preserve">161</w:t>
            </w:r>
          </w:p>
        </w:tc>
        <w:tc>
          <w:tcPr>
            <w:tcW w:type="dxa" w:w="1825"/>
          </w:tcPr>
          <w:p>
            <w:pPr>
              <w:spacing w:after="80" w:before="80"/>
            </w:pPr>
            <w:r>
              <w:rPr>
                <w:b w:val="0"/>
                <w:i w:val="0"/>
                <w:sz w:val="19"/>
              </w:rPr>
              <w:t xml:space="preserve">0.</w:t>
            </w:r>
            <w:r>
              <w:rPr>
                <w:b w:val="0"/>
                <w:i w:val="0"/>
                <w:sz w:val="19"/>
              </w:rPr>
              <w:t xml:space="preserve">074</w:t>
            </w:r>
          </w:p>
        </w:tc>
      </w:tr>
      <w:tr>
        <w:trPr>
          <w:cantSplit/>
        </w:trPr>
        <w:tc>
          <w:tcPr>
            <w:tcW w:type="dxa" w:w="1153"/>
          </w:tcPr>
          <w:p>
            <w:pPr>
              <w:spacing w:after="80" w:before="80"/>
            </w:pPr>
            <w:r>
              <w:rPr>
                <w:b w:val="0"/>
                <w:i w:val="0"/>
                <w:sz w:val="19"/>
              </w:rPr>
              <w:t>3</w:t>
            </w:r>
          </w:p>
        </w:tc>
        <w:tc>
          <w:tcPr>
            <w:tcW w:type="dxa" w:w="768"/>
          </w:tcPr>
          <w:p>
            <w:pPr>
              <w:spacing w:after="80" w:before="80"/>
            </w:pPr>
            <w:r>
              <w:rPr>
                <w:b w:val="0"/>
                <w:i w:val="0"/>
                <w:sz w:val="19"/>
              </w:rPr>
              <w:t>2</w:t>
            </w:r>
          </w:p>
        </w:tc>
        <w:tc>
          <w:tcPr>
            <w:tcW w:type="dxa" w:w="4034"/>
          </w:tcPr>
          <w:p>
            <w:pPr>
              <w:spacing w:after="80" w:before="80"/>
            </w:pPr>
            <w:r>
              <w:rPr>
                <w:b w:val="0"/>
                <w:i w:val="0"/>
                <w:sz w:val="19"/>
              </w:rPr>
              <w:t>k7-C2;k7-C6</w:t>
            </w:r>
          </w:p>
        </w:tc>
        <w:tc>
          <w:tcPr>
            <w:tcW w:type="dxa" w:w="1825"/>
          </w:tcPr>
          <w:p>
            <w:pPr>
              <w:spacing w:after="80" w:before="80"/>
            </w:pPr>
            <w:r>
              <w:rPr>
                <w:b w:val="0"/>
                <w:i w:val="0"/>
                <w:sz w:val="19"/>
              </w:rPr>
              <w:t xml:space="preserve">0.</w:t>
            </w:r>
            <w:r>
              <w:rPr>
                <w:b w:val="0"/>
                <w:i w:val="0"/>
                <w:sz w:val="19"/>
              </w:rPr>
              <w:t xml:space="preserve">109</w:t>
            </w:r>
          </w:p>
        </w:tc>
        <w:tc>
          <w:tcPr>
            <w:tcW w:type="dxa" w:w="1825"/>
          </w:tcPr>
          <w:p>
            <w:pPr>
              <w:spacing w:after="80" w:before="80"/>
            </w:pPr>
            <w:r>
              <w:rPr>
                <w:b w:val="0"/>
                <w:i w:val="0"/>
                <w:sz w:val="19"/>
              </w:rPr>
              <w:t xml:space="preserve">0.</w:t>
            </w:r>
            <w:r>
              <w:rPr>
                <w:b w:val="0"/>
                <w:i w:val="0"/>
                <w:sz w:val="19"/>
              </w:rPr>
              <w:t xml:space="preserve">069</w:t>
            </w:r>
          </w:p>
        </w:tc>
      </w:tr>
      <w:tr>
        <w:trPr>
          <w:cantSplit/>
        </w:trPr>
        <w:tc>
          <w:tcPr>
            <w:tcW w:type="dxa" w:w="1153"/>
          </w:tcPr>
          <w:p>
            <w:pPr>
              <w:spacing w:after="80" w:before="80"/>
            </w:pPr>
            <w:r>
              <w:rPr>
                <w:b w:val="0"/>
                <w:i w:val="0"/>
                <w:sz w:val="19"/>
              </w:rPr>
              <w:t>3</w:t>
            </w:r>
          </w:p>
        </w:tc>
        <w:tc>
          <w:tcPr>
            <w:tcW w:type="dxa" w:w="768"/>
          </w:tcPr>
          <w:p>
            <w:pPr>
              <w:spacing w:after="80" w:before="80"/>
            </w:pPr>
            <w:r>
              <w:rPr>
                <w:b w:val="0"/>
                <w:i w:val="0"/>
                <w:sz w:val="19"/>
              </w:rPr>
              <w:t>3</w:t>
            </w:r>
          </w:p>
        </w:tc>
        <w:tc>
          <w:tcPr>
            <w:tcW w:type="dxa" w:w="4034"/>
          </w:tcPr>
          <w:p>
            <w:pPr>
              <w:spacing w:after="80" w:before="80"/>
            </w:pPr>
            <w:r>
              <w:rPr>
                <w:b w:val="0"/>
                <w:i w:val="0"/>
                <w:sz w:val="19"/>
              </w:rPr>
              <w:t>k7-C1;k7-C3;k7-C6</w:t>
            </w:r>
          </w:p>
        </w:tc>
        <w:tc>
          <w:tcPr>
            <w:tcW w:type="dxa" w:w="1825"/>
          </w:tcPr>
          <w:p>
            <w:pPr>
              <w:spacing w:after="80" w:before="80"/>
            </w:pPr>
            <w:r>
              <w:rPr>
                <w:b w:val="0"/>
                <w:i w:val="0"/>
                <w:sz w:val="19"/>
              </w:rPr>
              <w:t xml:space="preserve">0.</w:t>
            </w:r>
            <w:r>
              <w:rPr>
                <w:b w:val="0"/>
                <w:i w:val="0"/>
                <w:sz w:val="19"/>
              </w:rPr>
              <w:t xml:space="preserve">070</w:t>
            </w:r>
          </w:p>
        </w:tc>
        <w:tc>
          <w:tcPr>
            <w:tcW w:type="dxa" w:w="1825"/>
          </w:tcPr>
          <w:p>
            <w:pPr>
              <w:spacing w:after="80" w:before="80"/>
            </w:pPr>
            <w:r>
              <w:rPr>
                <w:b w:val="0"/>
                <w:i w:val="0"/>
                <w:sz w:val="19"/>
              </w:rPr>
              <w:t xml:space="preserve">0.</w:t>
            </w:r>
            <w:r>
              <w:rPr>
                <w:b w:val="0"/>
                <w:i w:val="0"/>
                <w:sz w:val="19"/>
              </w:rPr>
              <w:t xml:space="preserve">030</w:t>
            </w:r>
          </w:p>
        </w:tc>
      </w:tr>
      <w:tr>
        <w:trPr>
          <w:cantSplit/>
        </w:trPr>
        <w:tc>
          <w:tcPr>
            <w:tcW w:type="dxa" w:w="1153"/>
          </w:tcPr>
          <w:p>
            <w:pPr>
              <w:spacing w:after="80" w:before="80"/>
            </w:pPr>
            <w:r>
              <w:rPr>
                <w:b w:val="0"/>
                <w:i w:val="0"/>
                <w:sz w:val="19"/>
              </w:rPr>
              <w:t>3</w:t>
            </w:r>
          </w:p>
        </w:tc>
        <w:tc>
          <w:tcPr>
            <w:tcW w:type="dxa" w:w="768"/>
          </w:tcPr>
          <w:p>
            <w:pPr>
              <w:spacing w:after="80" w:before="80"/>
            </w:pPr>
            <w:r>
              <w:rPr>
                <w:b w:val="0"/>
                <w:i w:val="0"/>
                <w:sz w:val="19"/>
              </w:rPr>
              <w:t>4</w:t>
            </w:r>
          </w:p>
        </w:tc>
        <w:tc>
          <w:tcPr>
            <w:tcW w:type="dxa" w:w="4034"/>
          </w:tcPr>
          <w:p>
            <w:pPr>
              <w:spacing w:after="80" w:before="80"/>
            </w:pPr>
            <w:r>
              <w:rPr>
                <w:b w:val="0"/>
                <w:i w:val="0"/>
                <w:sz w:val="19"/>
              </w:rPr>
              <w:t>k7-C1;k7-C2;k7-C4;k7-C6</w:t>
            </w:r>
          </w:p>
        </w:tc>
        <w:tc>
          <w:tcPr>
            <w:tcW w:type="dxa" w:w="1825"/>
          </w:tcPr>
          <w:p>
            <w:pPr>
              <w:spacing w:after="80" w:before="80"/>
            </w:pPr>
            <w:r>
              <w:rPr>
                <w:b w:val="0"/>
                <w:i w:val="0"/>
                <w:sz w:val="19"/>
              </w:rPr>
              <w:t xml:space="preserve">0.</w:t>
            </w:r>
            <w:r>
              <w:rPr>
                <w:b w:val="0"/>
                <w:i w:val="0"/>
                <w:sz w:val="19"/>
              </w:rPr>
              <w:t xml:space="preserve">040</w:t>
            </w:r>
          </w:p>
        </w:tc>
        <w:tc>
          <w:tcPr>
            <w:tcW w:type="dxa" w:w="1825"/>
          </w:tcPr>
          <w:p>
            <w:pPr>
              <w:spacing w:after="80" w:before="80"/>
            </w:pPr>
            <w:r>
              <w:rPr>
                <w:b w:val="0"/>
                <w:i w:val="0"/>
                <w:sz w:val="19"/>
              </w:rPr>
              <w:t xml:space="preserve">0.</w:t>
            </w:r>
            <w:r>
              <w:rPr>
                <w:b w:val="0"/>
                <w:i w:val="0"/>
                <w:sz w:val="19"/>
              </w:rPr>
              <w:t xml:space="preserve">018</w:t>
            </w:r>
          </w:p>
        </w:tc>
      </w:tr>
      <w:tr>
        <w:trPr>
          <w:cantSplit/>
        </w:trPr>
        <w:tc>
          <w:tcPr>
            <w:tcW w:type="dxa" w:w="1153"/>
          </w:tcPr>
          <w:p>
            <w:pPr>
              <w:spacing w:after="80" w:before="80"/>
            </w:pPr>
            <w:r>
              <w:rPr>
                <w:b w:val="0"/>
                <w:i w:val="0"/>
                <w:sz w:val="19"/>
              </w:rPr>
              <w:t>3</w:t>
            </w:r>
          </w:p>
        </w:tc>
        <w:tc>
          <w:tcPr>
            <w:tcW w:type="dxa" w:w="768"/>
          </w:tcPr>
          <w:p>
            <w:pPr>
              <w:spacing w:after="80" w:before="80"/>
            </w:pPr>
            <w:r>
              <w:rPr>
                <w:b w:val="0"/>
                <w:i w:val="0"/>
                <w:sz w:val="19"/>
              </w:rPr>
              <w:t>5</w:t>
            </w:r>
          </w:p>
        </w:tc>
        <w:tc>
          <w:tcPr>
            <w:tcW w:type="dxa" w:w="4034"/>
          </w:tcPr>
          <w:p>
            <w:pPr>
              <w:spacing w:after="80" w:before="80"/>
            </w:pPr>
            <w:r>
              <w:rPr>
                <w:b w:val="0"/>
                <w:i w:val="0"/>
                <w:sz w:val="19"/>
              </w:rPr>
              <w:t>k7-C1;k7-C2;k7-C3;k7-C5;k7-C6</w:t>
            </w:r>
          </w:p>
        </w:tc>
        <w:tc>
          <w:tcPr>
            <w:tcW w:type="dxa" w:w="1825"/>
          </w:tcPr>
          <w:p>
            <w:pPr>
              <w:spacing w:after="80" w:before="80"/>
            </w:pPr>
            <w:r>
              <w:rPr>
                <w:b w:val="0"/>
                <w:i w:val="0"/>
                <w:sz w:val="19"/>
              </w:rPr>
              <w:t xml:space="preserve">0.</w:t>
            </w:r>
            <w:r>
              <w:rPr>
                <w:b w:val="0"/>
                <w:i w:val="0"/>
                <w:sz w:val="19"/>
              </w:rPr>
              <w:t xml:space="preserve">032</w:t>
            </w:r>
          </w:p>
        </w:tc>
        <w:tc>
          <w:tcPr>
            <w:tcW w:type="dxa" w:w="1825"/>
          </w:tcPr>
          <w:p>
            <w:pPr>
              <w:spacing w:after="80" w:before="80"/>
            </w:pPr>
            <w:r>
              <w:rPr>
                <w:b w:val="0"/>
                <w:i w:val="0"/>
                <w:sz w:val="19"/>
              </w:rPr>
              <w:t xml:space="preserve">0.</w:t>
            </w:r>
            <w:r>
              <w:rPr>
                <w:b w:val="0"/>
                <w:i w:val="0"/>
                <w:sz w:val="19"/>
              </w:rPr>
              <w:t xml:space="preserve">008</w:t>
            </w:r>
          </w:p>
        </w:tc>
      </w:tr>
      <w:tr>
        <w:trPr>
          <w:cantSplit/>
        </w:trPr>
        <w:tc>
          <w:tcPr>
            <w:tcW w:type="dxa" w:w="1153"/>
          </w:tcPr>
          <w:p>
            <w:pPr>
              <w:spacing w:after="80" w:before="80"/>
            </w:pPr>
            <w:r>
              <w:rPr>
                <w:b w:val="0"/>
                <w:i w:val="0"/>
                <w:sz w:val="19"/>
              </w:rPr>
              <w:t>3</w:t>
            </w:r>
          </w:p>
        </w:tc>
        <w:tc>
          <w:tcPr>
            <w:tcW w:type="dxa" w:w="768"/>
          </w:tcPr>
          <w:p>
            <w:pPr>
              <w:spacing w:after="80" w:before="80"/>
            </w:pPr>
            <w:r>
              <w:rPr>
                <w:b w:val="0"/>
                <w:i w:val="0"/>
                <w:sz w:val="19"/>
              </w:rPr>
              <w:t>6</w:t>
            </w:r>
          </w:p>
        </w:tc>
        <w:tc>
          <w:tcPr>
            <w:tcW w:type="dxa" w:w="4034"/>
          </w:tcPr>
          <w:p>
            <w:pPr>
              <w:spacing w:after="80" w:before="80"/>
            </w:pPr>
            <w:r>
              <w:rPr>
                <w:b w:val="0"/>
                <w:i w:val="0"/>
                <w:sz w:val="19"/>
              </w:rPr>
              <w:t>k7-C1;k7-C2;k7-C3;k7-C4;k7-C5;k7-C6</w:t>
            </w:r>
          </w:p>
        </w:tc>
        <w:tc>
          <w:tcPr>
            <w:tcW w:type="dxa" w:w="1825"/>
          </w:tcPr>
          <w:p>
            <w:pPr>
              <w:spacing w:after="80" w:before="80"/>
            </w:pPr>
            <w:r>
              <w:rPr>
                <w:b w:val="0"/>
                <w:i w:val="0"/>
                <w:sz w:val="19"/>
              </w:rPr>
              <w:t xml:space="preserve">0.</w:t>
            </w:r>
            <w:r>
              <w:rPr>
                <w:b w:val="0"/>
                <w:i w:val="0"/>
                <w:sz w:val="19"/>
              </w:rPr>
              <w:t xml:space="preserve">024</w:t>
            </w:r>
          </w:p>
        </w:tc>
        <w:tc>
          <w:tcPr>
            <w:tcW w:type="dxa" w:w="1825"/>
          </w:tcPr>
          <w:p>
            <w:pPr>
              <w:spacing w:after="80" w:before="80"/>
            </w:pPr>
            <w:r>
              <w:rPr>
                <w:b w:val="0"/>
                <w:i w:val="0"/>
                <w:sz w:val="19"/>
              </w:rPr>
              <w:t xml:space="preserve">0.</w:t>
            </w:r>
            <w:r>
              <w:rPr>
                <w:b w:val="0"/>
                <w:i w:val="0"/>
                <w:sz w:val="19"/>
              </w:rPr>
              <w:t xml:space="preserve">003</w:t>
            </w:r>
          </w:p>
        </w:tc>
      </w:tr>
      <w:tr>
        <w:trPr>
          <w:cantSplit/>
        </w:trPr>
        <w:tc>
          <w:tcPr>
            <w:tcW w:type="dxa" w:w="1153"/>
          </w:tcPr>
          <w:p>
            <w:pPr>
              <w:spacing w:after="80" w:before="80"/>
            </w:pPr>
            <w:r>
              <w:rPr>
                <w:b w:val="0"/>
                <w:i w:val="0"/>
                <w:sz w:val="19"/>
              </w:rPr>
              <w:t>3</w:t>
            </w:r>
          </w:p>
        </w:tc>
        <w:tc>
          <w:tcPr>
            <w:tcW w:type="dxa" w:w="768"/>
          </w:tcPr>
          <w:p>
            <w:pPr>
              <w:spacing w:after="80" w:before="80"/>
            </w:pPr>
            <w:r>
              <w:rPr>
                <w:b w:val="0"/>
                <w:i w:val="0"/>
                <w:sz w:val="19"/>
              </w:rPr>
              <w:t>7</w:t>
            </w:r>
          </w:p>
        </w:tc>
        <w:tc>
          <w:tcPr>
            <w:tcW w:type="dxa" w:w="4034"/>
          </w:tcPr>
          <w:p>
            <w:pPr>
              <w:spacing w:after="80" w:before="80"/>
            </w:pPr>
            <w:r>
              <w:rPr>
                <w:b w:val="0"/>
                <w:i w:val="0"/>
                <w:sz w:val="19"/>
              </w:rPr>
              <w:t>k7-C0;k7-C1;k7-C2;k7-C3;k7-C4;k7-C5;k7-C6</w:t>
            </w:r>
          </w:p>
        </w:tc>
        <w:tc>
          <w:tcPr>
            <w:tcW w:type="dxa" w:w="1825"/>
          </w:tcPr>
          <w:p>
            <w:pPr>
              <w:spacing w:after="80" w:before="80"/>
            </w:pPr>
            <w:r>
              <w:rPr>
                <w:b w:val="0"/>
                <w:i w:val="0"/>
                <w:sz w:val="19"/>
              </w:rPr>
              <w:t xml:space="preserve">0.</w:t>
            </w:r>
            <w:r>
              <w:rPr>
                <w:b w:val="0"/>
                <w:i w:val="0"/>
                <w:sz w:val="19"/>
              </w:rPr>
              <w:t xml:space="preserve">000</w:t>
            </w:r>
          </w:p>
        </w:tc>
        <w:tc>
          <w:tcPr>
            <w:tcW w:type="dxa" w:w="1825"/>
          </w:tcPr>
          <w:p>
            <w:pPr>
              <w:spacing w:after="80" w:before="80"/>
            </w:pPr>
            <w:r>
              <w:rPr>
                <w:b w:val="0"/>
                <w:i w:val="0"/>
                <w:sz w:val="19"/>
              </w:rPr>
              <w:t xml:space="preserve">0.</w:t>
            </w:r>
            <w:r>
              <w:rPr>
                <w:b w:val="0"/>
                <w:i w:val="0"/>
                <w:sz w:val="19"/>
              </w:rPr>
              <w:t xml:space="preserve">000</w:t>
            </w:r>
          </w:p>
        </w:tc>
      </w:tr>
    </w:tbl>
    <w:p>
      <w:pPr>
        <w:spacing w:after="0"/>
      </w:pPr>
    </w:p>
    <w:p>
      <w:pPr>
        <w:pStyle w:val="Heading1"/>
      </w:pPr>
      <w:r>
        <w:rPr>
          <w:b w:val="0"/>
          <w:i w:val="0"/>
        </w:rPr>
        <w:t>Supplementary Table S2</w:t>
      </w:r>
    </w:p>
    <w:p>
      <w:pPr>
        <w:keepNext/>
      </w:pPr>
      <w:r>
        <w:rPr>
          <w:b w:val="0"/>
          <w:i w:val="0"/>
        </w:rPr>
        <w:t>WGS84 centres of the 100 m assignment cells identifying the four 500 m square representative supports. These are not station coordinates.</w:t>
      </w:r>
      <w:r>
        <w:rPr>
          <w:b w:val="0"/>
          <w:i w:val="0"/>
        </w:rPr>
        <w:t xml:space="preserve"> Coordinates are displayed to five decimal places; the companion CSV retains full precision.</w:t>
      </w:r>
    </w:p>
    <w:tbl>
      <w:tblPr>
        <w:tblStyle w:val="TableGrid"/>
        <w:tblW w:type="auto" w:w="0"/>
        <w:tblLayout w:type="fixed"/>
        <w:tblLook w:firstColumn="1" w:firstRow="1" w:lastColumn="0" w:lastRow="0" w:noHBand="0" w:noVBand="1" w:val="04A0"/>
      </w:tblPr>
      <w:tblGrid>
        <w:gridCol w:w="1921"/>
        <w:gridCol w:w="1921"/>
        <w:gridCol w:w="1921"/>
        <w:gridCol w:w="1921"/>
        <w:gridCol w:w="1921"/>
      </w:tblGrid>
      <w:tr>
        <w:trPr>
          <w:cantSplit/>
          <w:tblHeader/>
        </w:trPr>
        <w:tc>
          <w:tcPr>
            <w:tcW w:type="dxa" w:w="1921"/>
            <w:shd w:fill="F0F0F0"/>
          </w:tcPr>
          <w:p>
            <w:pPr>
              <w:keepNext/>
              <w:spacing w:after="80" w:before="80"/>
            </w:pPr>
            <w:r>
              <w:rPr>
                <w:b/>
                <w:i w:val="0"/>
                <w:sz w:val="19"/>
              </w:rPr>
              <w:t>Category</w:t>
            </w:r>
          </w:p>
        </w:tc>
        <w:tc>
          <w:tcPr>
            <w:tcW w:type="dxa" w:w="1921"/>
            <w:shd w:fill="F0F0F0"/>
          </w:tcPr>
          <w:p>
            <w:pPr>
              <w:keepNext/>
              <w:spacing w:after="80" w:before="80"/>
            </w:pPr>
            <w:r>
              <w:rPr>
                <w:b/>
                <w:i w:val="0"/>
                <w:sz w:val="19"/>
              </w:rPr>
              <w:t>Raw class</w:t>
            </w:r>
          </w:p>
        </w:tc>
        <w:tc>
          <w:tcPr>
            <w:tcW w:type="dxa" w:w="1921"/>
            <w:shd w:fill="F0F0F0"/>
          </w:tcPr>
          <w:p>
            <w:pPr>
              <w:keepNext/>
              <w:spacing w:after="80" w:before="80"/>
            </w:pPr>
            <w:r>
              <w:rPr>
                <w:b/>
                <w:i w:val="0"/>
                <w:sz w:val="19"/>
              </w:rPr>
              <w:t>Centre grid ID</w:t>
            </w:r>
          </w:p>
        </w:tc>
        <w:tc>
          <w:tcPr>
            <w:tcW w:type="dxa" w:w="1921"/>
            <w:shd w:fill="F0F0F0"/>
          </w:tcPr>
          <w:p>
            <w:pPr>
              <w:keepNext/>
              <w:spacing w:after="80" w:before="80"/>
            </w:pPr>
            <w:r>
              <w:rPr>
                <w:b/>
                <w:i w:val="0"/>
                <w:sz w:val="19"/>
              </w:rPr>
              <w:t>Longitude (°E)</w:t>
            </w:r>
          </w:p>
        </w:tc>
        <w:tc>
          <w:tcPr>
            <w:tcW w:type="dxa" w:w="1921"/>
            <w:shd w:fill="F0F0F0"/>
          </w:tcPr>
          <w:p>
            <w:pPr>
              <w:keepNext/>
              <w:spacing w:after="80" w:before="80"/>
            </w:pPr>
            <w:r>
              <w:rPr>
                <w:b/>
                <w:i w:val="0"/>
                <w:sz w:val="19"/>
              </w:rPr>
              <w:t>Latitude (°N)</w:t>
            </w:r>
          </w:p>
        </w:tc>
      </w:tr>
      <w:tr>
        <w:trPr>
          <w:cantSplit/>
        </w:trPr>
        <w:tc>
          <w:tcPr>
            <w:tcW w:type="dxa" w:w="1921"/>
          </w:tcPr>
          <w:p>
            <w:pPr>
              <w:keepNext/>
              <w:spacing w:after="80" w:before="80"/>
            </w:pPr>
            <w:r>
              <w:rPr>
                <w:b w:val="0"/>
                <w:i w:val="0"/>
                <w:sz w:val="19"/>
              </w:rPr>
              <w:t>A</w:t>
            </w:r>
          </w:p>
        </w:tc>
        <w:tc>
          <w:tcPr>
            <w:tcW w:type="dxa" w:w="1921"/>
          </w:tcPr>
          <w:p>
            <w:pPr>
              <w:keepNext/>
              <w:spacing w:after="80" w:before="80"/>
            </w:pPr>
            <w:r>
              <w:rPr>
                <w:b w:val="0"/>
                <w:i w:val="0"/>
                <w:sz w:val="19"/>
              </w:rPr>
              <w:t>C1</w:t>
            </w:r>
          </w:p>
        </w:tc>
        <w:tc>
          <w:tcPr>
            <w:tcW w:type="dxa" w:w="1921"/>
          </w:tcPr>
          <w:p>
            <w:pPr>
              <w:keepNext/>
              <w:spacing w:after="80" w:before="80"/>
            </w:pPr>
            <w:r>
              <w:rPr>
                <w:b w:val="0"/>
                <w:i w:val="0"/>
                <w:sz w:val="19"/>
              </w:rPr>
              <w:t>3788</w:t>
            </w:r>
          </w:p>
        </w:tc>
        <w:tc>
          <w:tcPr>
            <w:tcW w:type="dxa" w:w="1921"/>
          </w:tcPr>
          <w:p>
            <w:pPr>
              <w:keepNext/>
              <w:spacing w:after="80" w:before="80"/>
            </w:pPr>
            <w:r>
              <w:rPr>
                <w:b w:val="0"/>
                <w:i w:val="0"/>
                <w:sz w:val="19"/>
              </w:rPr>
              <w:t xml:space="preserve">7.</w:t>
            </w:r>
            <w:r>
              <w:rPr>
                <w:b w:val="0"/>
                <w:i w:val="0"/>
                <w:sz w:val="19"/>
              </w:rPr>
              <w:t xml:space="preserve">72025</w:t>
            </w:r>
          </w:p>
        </w:tc>
        <w:tc>
          <w:tcPr>
            <w:tcW w:type="dxa" w:w="1921"/>
          </w:tcPr>
          <w:p>
            <w:pPr>
              <w:keepNext/>
              <w:spacing w:after="80" w:before="80"/>
            </w:pPr>
            <w:r>
              <w:rPr>
                <w:b w:val="0"/>
                <w:i w:val="0"/>
                <w:sz w:val="19"/>
              </w:rPr>
              <w:t xml:space="preserve">45.</w:t>
            </w:r>
            <w:r>
              <w:rPr>
                <w:b w:val="0"/>
                <w:i w:val="0"/>
                <w:sz w:val="19"/>
              </w:rPr>
              <w:t xml:space="preserve">05026</w:t>
            </w:r>
          </w:p>
        </w:tc>
      </w:tr>
      <w:tr>
        <w:trPr>
          <w:cantSplit/>
        </w:trPr>
        <w:tc>
          <w:tcPr>
            <w:tcW w:type="dxa" w:w="1921"/>
          </w:tcPr>
          <w:p>
            <w:pPr>
              <w:keepNext/>
              <w:spacing w:after="80" w:before="80"/>
            </w:pPr>
            <w:r>
              <w:rPr>
                <w:b w:val="0"/>
                <w:i w:val="0"/>
                <w:sz w:val="19"/>
              </w:rPr>
              <w:t>B</w:t>
            </w:r>
          </w:p>
        </w:tc>
        <w:tc>
          <w:tcPr>
            <w:tcW w:type="dxa" w:w="1921"/>
          </w:tcPr>
          <w:p>
            <w:pPr>
              <w:keepNext/>
              <w:spacing w:after="80" w:before="80"/>
            </w:pPr>
            <w:r>
              <w:rPr>
                <w:b w:val="0"/>
                <w:i w:val="0"/>
                <w:sz w:val="19"/>
              </w:rPr>
              <w:t>C2</w:t>
            </w:r>
          </w:p>
        </w:tc>
        <w:tc>
          <w:tcPr>
            <w:tcW w:type="dxa" w:w="1921"/>
          </w:tcPr>
          <w:p>
            <w:pPr>
              <w:keepNext/>
              <w:spacing w:after="80" w:before="80"/>
            </w:pPr>
            <w:r>
              <w:rPr>
                <w:b w:val="0"/>
                <w:i w:val="0"/>
                <w:sz w:val="19"/>
              </w:rPr>
              <w:t>10026</w:t>
            </w:r>
          </w:p>
        </w:tc>
        <w:tc>
          <w:tcPr>
            <w:tcW w:type="dxa" w:w="1921"/>
          </w:tcPr>
          <w:p>
            <w:pPr>
              <w:keepNext/>
              <w:spacing w:after="80" w:before="80"/>
            </w:pPr>
            <w:r>
              <w:rPr>
                <w:b w:val="0"/>
                <w:i w:val="0"/>
                <w:sz w:val="19"/>
              </w:rPr>
              <w:t xml:space="preserve">7.</w:t>
            </w:r>
            <w:r>
              <w:rPr>
                <w:b w:val="0"/>
                <w:i w:val="0"/>
                <w:sz w:val="19"/>
              </w:rPr>
              <w:t xml:space="preserve">63526</w:t>
            </w:r>
          </w:p>
        </w:tc>
        <w:tc>
          <w:tcPr>
            <w:tcW w:type="dxa" w:w="1921"/>
          </w:tcPr>
          <w:p>
            <w:pPr>
              <w:keepNext/>
              <w:spacing w:after="80" w:before="80"/>
            </w:pPr>
            <w:r>
              <w:rPr>
                <w:b w:val="0"/>
                <w:i w:val="0"/>
                <w:sz w:val="19"/>
              </w:rPr>
              <w:t xml:space="preserve">45.</w:t>
            </w:r>
            <w:r>
              <w:rPr>
                <w:b w:val="0"/>
                <w:i w:val="0"/>
                <w:sz w:val="19"/>
              </w:rPr>
              <w:t xml:space="preserve">09969</w:t>
            </w:r>
          </w:p>
        </w:tc>
      </w:tr>
      <w:tr>
        <w:trPr>
          <w:cantSplit/>
        </w:trPr>
        <w:tc>
          <w:tcPr>
            <w:tcW w:type="dxa" w:w="1921"/>
          </w:tcPr>
          <w:p>
            <w:pPr>
              <w:keepNext/>
              <w:spacing w:after="80" w:before="80"/>
            </w:pPr>
            <w:r>
              <w:rPr>
                <w:b w:val="0"/>
                <w:i w:val="0"/>
                <w:sz w:val="19"/>
              </w:rPr>
              <w:t>C</w:t>
            </w:r>
          </w:p>
        </w:tc>
        <w:tc>
          <w:tcPr>
            <w:tcW w:type="dxa" w:w="1921"/>
          </w:tcPr>
          <w:p>
            <w:pPr>
              <w:keepNext/>
              <w:spacing w:after="80" w:before="80"/>
            </w:pPr>
            <w:r>
              <w:rPr>
                <w:b w:val="0"/>
                <w:i w:val="0"/>
                <w:sz w:val="19"/>
              </w:rPr>
              <w:t>C4</w:t>
            </w:r>
          </w:p>
        </w:tc>
        <w:tc>
          <w:tcPr>
            <w:tcW w:type="dxa" w:w="1921"/>
          </w:tcPr>
          <w:p>
            <w:pPr>
              <w:keepNext/>
              <w:spacing w:after="80" w:before="80"/>
            </w:pPr>
            <w:r>
              <w:rPr>
                <w:b w:val="0"/>
                <w:i w:val="0"/>
                <w:sz w:val="19"/>
              </w:rPr>
              <w:t>5210</w:t>
            </w:r>
          </w:p>
        </w:tc>
        <w:tc>
          <w:tcPr>
            <w:tcW w:type="dxa" w:w="1921"/>
          </w:tcPr>
          <w:p>
            <w:pPr>
              <w:keepNext/>
              <w:spacing w:after="80" w:before="80"/>
            </w:pPr>
            <w:r>
              <w:rPr>
                <w:b w:val="0"/>
                <w:i w:val="0"/>
                <w:sz w:val="19"/>
              </w:rPr>
              <w:t xml:space="preserve">7.</w:t>
            </w:r>
            <w:r>
              <w:rPr>
                <w:b w:val="0"/>
                <w:i w:val="0"/>
                <w:sz w:val="19"/>
              </w:rPr>
              <w:t xml:space="preserve">65394</w:t>
            </w:r>
          </w:p>
        </w:tc>
        <w:tc>
          <w:tcPr>
            <w:tcW w:type="dxa" w:w="1921"/>
          </w:tcPr>
          <w:p>
            <w:pPr>
              <w:keepNext/>
              <w:spacing w:after="80" w:before="80"/>
            </w:pPr>
            <w:r>
              <w:rPr>
                <w:b w:val="0"/>
                <w:i w:val="0"/>
                <w:sz w:val="19"/>
              </w:rPr>
              <w:t xml:space="preserve">45.</w:t>
            </w:r>
            <w:r>
              <w:rPr>
                <w:b w:val="0"/>
                <w:i w:val="0"/>
                <w:sz w:val="19"/>
              </w:rPr>
              <w:t xml:space="preserve">06210</w:t>
            </w:r>
          </w:p>
        </w:tc>
      </w:tr>
      <w:tr>
        <w:trPr>
          <w:cantSplit/>
        </w:trPr>
        <w:tc>
          <w:tcPr>
            <w:tcW w:type="dxa" w:w="1921"/>
          </w:tcPr>
          <w:p>
            <w:pPr>
              <w:spacing w:after="80" w:before="80"/>
            </w:pPr>
            <w:r>
              <w:rPr>
                <w:b w:val="0"/>
                <w:i w:val="0"/>
                <w:sz w:val="19"/>
              </w:rPr>
              <w:t>D</w:t>
            </w:r>
          </w:p>
        </w:tc>
        <w:tc>
          <w:tcPr>
            <w:tcW w:type="dxa" w:w="1921"/>
          </w:tcPr>
          <w:p>
            <w:pPr>
              <w:spacing w:after="80" w:before="80"/>
            </w:pPr>
            <w:r>
              <w:rPr>
                <w:b w:val="0"/>
                <w:i w:val="0"/>
                <w:sz w:val="19"/>
              </w:rPr>
              <w:t>C6</w:t>
            </w:r>
          </w:p>
        </w:tc>
        <w:tc>
          <w:tcPr>
            <w:tcW w:type="dxa" w:w="1921"/>
          </w:tcPr>
          <w:p>
            <w:pPr>
              <w:spacing w:after="80" w:before="80"/>
            </w:pPr>
            <w:r>
              <w:rPr>
                <w:b w:val="0"/>
                <w:i w:val="0"/>
                <w:sz w:val="19"/>
              </w:rPr>
              <w:t>1524</w:t>
            </w:r>
          </w:p>
        </w:tc>
        <w:tc>
          <w:tcPr>
            <w:tcW w:type="dxa" w:w="1921"/>
          </w:tcPr>
          <w:p>
            <w:pPr>
              <w:spacing w:after="80" w:before="80"/>
            </w:pPr>
            <w:r>
              <w:rPr>
                <w:b w:val="0"/>
                <w:i w:val="0"/>
                <w:sz w:val="19"/>
              </w:rPr>
              <w:t xml:space="preserve">7.</w:t>
            </w:r>
            <w:r>
              <w:rPr>
                <w:b w:val="0"/>
                <w:i w:val="0"/>
                <w:sz w:val="19"/>
              </w:rPr>
              <w:t xml:space="preserve">62422</w:t>
            </w:r>
          </w:p>
        </w:tc>
        <w:tc>
          <w:tcPr>
            <w:tcW w:type="dxa" w:w="1921"/>
          </w:tcPr>
          <w:p>
            <w:pPr>
              <w:spacing w:after="80" w:before="80"/>
            </w:pPr>
            <w:r>
              <w:rPr>
                <w:b w:val="0"/>
                <w:i w:val="0"/>
                <w:sz w:val="19"/>
              </w:rPr>
              <w:t xml:space="preserve">45.</w:t>
            </w:r>
            <w:r>
              <w:rPr>
                <w:b w:val="0"/>
                <w:i w:val="0"/>
                <w:sz w:val="19"/>
              </w:rPr>
              <w:t xml:space="preserve">03024</w:t>
            </w:r>
          </w:p>
        </w:tc>
      </w:tr>
    </w:tbl>
    <w:p>
      <w:pPr>
        <w:spacing w:after="0"/>
      </w:pPr>
    </w:p>
    <w:p>
      <w:pPr>
        <w:pStyle w:val="Heading1"/>
      </w:pPr>
      <w:r>
        <w:rPr>
          <w:b w:val="0"/>
          <w:i w:val="0"/>
        </w:rPr>
        <w:t>Supplementary Table S3</w:t>
      </w:r>
    </w:p>
    <w:p>
      <w:r>
        <w:t xml:space="preserve">Companion file: tables/S3_feature_sensitivity.csv.</w:t>
      </w:r>
    </w:p>
    <w:p>
      <w:r>
        <w:rPr>
          <w:b w:val="0"/>
          <w:i w:val="0"/>
        </w:rPr>
        <w:t>The accompanying CSV reports the seven fixed-algorithm feature tests, ARI, aligned assignment agreement and C6 overlap. Agreement measures partition sensitivity, not observed-climate accuracy.</w:t>
      </w:r>
    </w:p>
    <w:p>
      <w:pPr>
        <w:pStyle w:val="Heading1"/>
      </w:pPr>
      <w:r>
        <w:rPr>
          <w:b w:val="0"/>
          <w:i w:val="0"/>
        </w:rPr>
        <w:t>Supplementary Table S4</w:t>
      </w:r>
    </w:p>
    <w:p>
      <w:r>
        <w:rPr>
          <w:b w:val="0"/>
          <w:i w:val="0"/>
        </w:rPr>
        <w:t xml:space="preserve">Companion file: </w:t>
      </w:r>
      <w:r>
        <w:rPr>
          <w:rFonts w:ascii="Consolas" w:hAnsi="Consolas"/>
          <w:b w:val="0"/>
          <w:i w:val="0"/>
          <w:sz w:val="18"/>
        </w:rPr>
        <w:t>tables/S4_parameter_scenarios.csv</w:t>
      </w:r>
      <w:r>
        <w:rPr>
          <w:b w:val="0"/>
          <w:i w:val="0"/>
        </w:rPr>
        <w:t>.</w:t>
      </w:r>
    </w:p>
    <w:p>
      <w:pPr>
        <w:pStyle w:val="Heading1"/>
      </w:pPr>
      <w:r>
        <w:rPr>
          <w:b w:val="0"/>
          <w:i w:val="0"/>
        </w:rPr>
        <w:t>Supplementary Table S5</w:t>
      </w:r>
    </w:p>
    <w:p>
      <w:r>
        <w:rPr>
          <w:b w:val="0"/>
          <w:i w:val="0"/>
        </w:rPr>
        <w:t xml:space="preserve">Companion file: </w:t>
      </w:r>
      <w:r>
        <w:rPr>
          <w:rFonts w:ascii="Consolas" w:hAnsi="Consolas"/>
          <w:b w:val="0"/>
          <w:i w:val="0"/>
          <w:sz w:val="18"/>
        </w:rPr>
        <w:t>tables/S5_station_2022_intervals.csv</w:t>
      </w:r>
      <w:r>
        <w:rPr>
          <w:b w:val="0"/>
          <w:i w:val="0"/>
        </w:rPr>
        <w:t>.</w:t>
      </w:r>
    </w:p>
    <w:p>
      <w:pPr>
        <w:pStyle w:val="Heading1"/>
      </w:pPr>
      <w:r>
        <w:rPr>
          <w:b w:val="0"/>
          <w:i w:val="0"/>
        </w:rPr>
        <w:t>Supplementary Table S6</w:t>
      </w:r>
    </w:p>
    <w:p>
      <w:r>
        <w:rPr>
          <w:b w:val="0"/>
          <w:i w:val="0"/>
        </w:rPr>
        <w:t xml:space="preserve">Companion file: </w:t>
      </w:r>
      <w:r>
        <w:rPr>
          <w:rFonts w:ascii="Consolas" w:hAnsi="Consolas"/>
          <w:b w:val="0"/>
          <w:i w:val="0"/>
          <w:sz w:val="18"/>
        </w:rPr>
        <w:t>tables/S6_station_2022_periods.csv</w:t>
      </w:r>
      <w:r>
        <w:rPr>
          <w:b w:val="0"/>
          <w:i w:val="0"/>
        </w:rPr>
        <w:t>.</w:t>
      </w:r>
    </w:p>
    <w:p>
      <w:pPr>
        <w:pStyle w:val="Heading1"/>
      </w:pPr>
      <w:r>
        <w:rPr>
          <w:b w:val="0"/>
          <w:i w:val="0"/>
        </w:rPr>
        <w:t>Supplementary Table S7</w:t>
      </w:r>
    </w:p>
    <w:p>
      <w:r>
        <w:rPr>
          <w:b w:val="0"/>
          <w:i w:val="0"/>
        </w:rPr>
        <w:t xml:space="preserve">Companion file: </w:t>
      </w:r>
      <w:r>
        <w:rPr>
          <w:rFonts w:ascii="Consolas" w:hAnsi="Consolas"/>
          <w:b w:val="0"/>
          <w:i w:val="0"/>
          <w:sz w:val="18"/>
        </w:rPr>
        <w:t>tables/S7_canopy_imputation.csv</w:t>
      </w:r>
      <w:r>
        <w:rPr>
          <w:b w:val="0"/>
          <w:i w:val="0"/>
        </w:rPr>
        <w:t>.</w:t>
      </w:r>
    </w:p>
    <w:p>
      <w:pPr>
        <w:pStyle w:val="Heading1"/>
      </w:pPr>
      <w:r>
        <w:rPr>
          <w:b w:val="0"/>
          <w:i w:val="0"/>
        </w:rPr>
        <w:t>Supplementary Table S8</w:t>
      </w:r>
    </w:p>
    <w:p>
      <w:r>
        <w:rPr>
          <w:b w:val="0"/>
          <w:i w:val="0"/>
        </w:rPr>
        <w:t xml:space="preserve">Companion file: </w:t>
      </w:r>
      <w:r>
        <w:rPr>
          <w:rFonts w:ascii="Consolas" w:hAnsi="Consolas"/>
          <w:b w:val="0"/>
          <w:i w:val="0"/>
          <w:sz w:val="18"/>
        </w:rPr>
        <w:t>tables/S8_scale_statistics.csv</w:t>
      </w:r>
      <w:r>
        <w:rPr>
          <w:b w:val="0"/>
          <w:i w:val="0"/>
        </w:rPr>
        <w:t>.</w:t>
      </w:r>
    </w:p>
    <w:p>
      <w:pPr>
        <w:pStyle w:val="Heading1"/>
      </w:pPr>
      <w:r>
        <w:rPr>
          <w:b w:val="0"/>
          <w:i w:val="0"/>
        </w:rPr>
        <w:t>Supplementary Table S9</w:t>
      </w:r>
    </w:p>
    <w:p>
      <w:r>
        <w:rPr>
          <w:b w:val="0"/>
          <w:i w:val="0"/>
        </w:rPr>
        <w:t xml:space="preserve">Companion file: </w:t>
      </w:r>
      <w:r>
        <w:rPr>
          <w:rFonts w:ascii="Consolas" w:hAnsi="Consolas"/>
          <w:b w:val="0"/>
          <w:i w:val="0"/>
          <w:sz w:val="18"/>
        </w:rPr>
        <w:t>tables/S9_industrial_sites.csv</w:t>
      </w:r>
      <w:r>
        <w:rPr>
          <w:b w:val="0"/>
          <w:i w:val="0"/>
        </w:rPr>
        <w:t>.</w:t>
      </w:r>
    </w:p>
    <w:p>
      <w:r>
        <w:rPr>
          <w:b w:val="0"/>
          <w:i w:val="0"/>
        </w:rPr>
        <w:t>Tables S4–S9 retain the explicit metric, population and scenario columns. S4 reports same-medoid absolute parameter response separately from fixed-set compression. S5 reports paired annual RMSE-improvement intervals. S6 retains DJF/JJA and clock day/night definitions for 2022. S7 lists donor-group support and crown quartiles; these are not guaranteed representations of the missing-height subgroup. S8 separates weighted scale estimands and samples. S9 reports overlapping industrial-site windows, not independent neighbourhoods.</w:t>
      </w:r>
    </w:p>
    <w:p>
      <w:pPr>
        <w:pStyle w:val="Heading1"/>
      </w:pPr>
      <w:r>
        <w:rPr>
          <w:b w:val="0"/>
          <w:i w:val="0"/>
        </w:rPr>
        <w:t>Supplementary Table S10</w:t>
      </w:r>
    </w:p>
    <w:p>
      <w:pPr>
        <w:keepNext/>
      </w:pPr>
      <w:r>
        <w:rPr>
          <w:b w:val="0"/>
          <w:i w:val="0"/>
        </w:rPr>
        <w:t>Additional scenarios. q is the fitting-population road-share midrank. Exact JSONs and changed keys accompany the table.</w:t>
      </w:r>
    </w:p>
    <w:tbl>
      <w:tblPr>
        <w:tblStyle w:val="TableGrid"/>
        <w:tblW w:type="auto" w:w="0"/>
        <w:tblLayout w:type="fixed"/>
        <w:tblLook w:firstColumn="1" w:firstRow="1" w:lastColumn="0" w:lastRow="0" w:noHBand="0" w:noVBand="1" w:val="04A0"/>
      </w:tblPr>
      <w:tblGrid>
        <w:gridCol w:w="3202"/>
        <w:gridCol w:w="3202"/>
        <w:gridCol w:w="3202"/>
      </w:tblGrid>
      <w:tr>
        <w:trPr>
          <w:cantSplit/>
          <w:tblHeader/>
        </w:trPr>
        <w:tc>
          <w:tcPr>
            <w:tcW w:type="dxa" w:w="3202"/>
            <w:shd w:fill="F0F0F0"/>
          </w:tcPr>
          <w:p>
            <w:pPr>
              <w:spacing w:after="80" w:before="80"/>
            </w:pPr>
            <w:r>
              <w:rPr>
                <w:b/>
                <w:i w:val="0"/>
                <w:sz w:val="19"/>
              </w:rPr>
              <w:t>Scenario</w:t>
            </w:r>
          </w:p>
        </w:tc>
        <w:tc>
          <w:tcPr>
            <w:tcW w:type="dxa" w:w="3202"/>
            <w:shd w:fill="F0F0F0"/>
          </w:tcPr>
          <w:p>
            <w:pPr>
              <w:spacing w:after="80" w:before="80"/>
            </w:pPr>
            <w:r>
              <w:rPr>
                <w:b/>
                <w:i w:val="0"/>
                <w:sz w:val="19"/>
              </w:rPr>
              <w:t>Key</w:t>
            </w:r>
          </w:p>
        </w:tc>
        <w:tc>
          <w:tcPr>
            <w:tcW w:type="dxa" w:w="3202"/>
            <w:shd w:fill="F0F0F0"/>
          </w:tcPr>
          <w:p>
            <w:pPr>
              <w:spacing w:after="80" w:before="80"/>
            </w:pPr>
            <w:r>
              <w:rPr>
                <w:b/>
                <w:i w:val="0"/>
                <w:sz w:val="19"/>
              </w:rPr>
              <w:t>Change</w:t>
            </w:r>
          </w:p>
        </w:tc>
      </w:tr>
      <w:tr>
        <w:trPr>
          <w:cantSplit/>
        </w:trPr>
        <w:tc>
          <w:tcPr>
            <w:tcW w:type="dxa" w:w="3202"/>
          </w:tcPr>
          <w:p>
            <w:pPr>
              <w:spacing w:after="80" w:before="80"/>
            </w:pPr>
            <w:r>
              <w:rPr>
                <w:b w:val="0"/>
                <w:i w:val="0"/>
                <w:sz w:val="19"/>
              </w:rPr>
              <w:t>heat_10</w:t>
            </w:r>
          </w:p>
        </w:tc>
        <w:tc>
          <w:tcPr>
            <w:tcW w:type="dxa" w:w="3202"/>
          </w:tcPr>
          <w:p>
            <w:pPr>
              <w:spacing w:after="80" w:before="80"/>
            </w:pPr>
            <w:r>
              <w:rPr>
                <w:b w:val="0"/>
                <w:i w:val="0"/>
                <w:sz w:val="19"/>
              </w:rPr>
              <w:t>sensanth</w:t>
            </w:r>
          </w:p>
        </w:tc>
        <w:tc>
          <w:tcPr>
            <w:tcW w:type="dxa" w:w="3202"/>
          </w:tcPr>
          <w:p>
            <w:pPr>
              <w:spacing w:after="80" w:before="80"/>
            </w:pPr>
            <w:r>
              <w:rPr>
                <w:b w:val="0"/>
                <w:i w:val="0"/>
                <w:sz w:val="19"/>
              </w:rPr>
              <w:t>10 W/m2 amplitude</w:t>
            </w:r>
          </w:p>
        </w:tc>
      </w:tr>
      <w:tr>
        <w:trPr>
          <w:cantSplit/>
        </w:trPr>
        <w:tc>
          <w:tcPr>
            <w:tcW w:type="dxa" w:w="3202"/>
          </w:tcPr>
          <w:p>
            <w:pPr>
              <w:spacing w:after="80" w:before="80"/>
            </w:pPr>
            <w:r>
              <w:rPr>
                <w:b w:val="0"/>
                <w:i w:val="0"/>
                <w:sz w:val="19"/>
              </w:rPr>
              <w:t>heat_40</w:t>
            </w:r>
          </w:p>
        </w:tc>
        <w:tc>
          <w:tcPr>
            <w:tcW w:type="dxa" w:w="3202"/>
          </w:tcPr>
          <w:p>
            <w:pPr>
              <w:spacing w:after="80" w:before="80"/>
            </w:pPr>
            <w:r>
              <w:rPr>
                <w:b w:val="0"/>
                <w:i w:val="0"/>
                <w:sz w:val="19"/>
              </w:rPr>
              <w:t>sensanth</w:t>
            </w:r>
          </w:p>
        </w:tc>
        <w:tc>
          <w:tcPr>
            <w:tcW w:type="dxa" w:w="3202"/>
          </w:tcPr>
          <w:p>
            <w:pPr>
              <w:spacing w:after="80" w:before="80"/>
            </w:pPr>
            <w:r>
              <w:rPr>
                <w:b w:val="0"/>
                <w:i w:val="0"/>
                <w:sz w:val="19"/>
              </w:rPr>
              <w:t>40 W/m2 amplitude</w:t>
            </w:r>
          </w:p>
        </w:tc>
      </w:tr>
      <w:tr>
        <w:trPr>
          <w:cantSplit/>
        </w:trPr>
        <w:tc>
          <w:tcPr>
            <w:tcW w:type="dxa" w:w="3202"/>
          </w:tcPr>
          <w:p>
            <w:pPr>
              <w:spacing w:after="80" w:before="80"/>
            </w:pPr>
            <w:r>
              <w:rPr>
                <w:b w:val="0"/>
                <w:i w:val="0"/>
                <w:sz w:val="19"/>
              </w:rPr>
              <w:t>timing_flat</w:t>
            </w:r>
          </w:p>
        </w:tc>
        <w:tc>
          <w:tcPr>
            <w:tcW w:type="dxa" w:w="3202"/>
          </w:tcPr>
          <w:p>
            <w:pPr>
              <w:spacing w:after="80" w:before="80"/>
            </w:pPr>
            <w:r>
              <w:rPr>
                <w:b w:val="0"/>
                <w:i w:val="0"/>
                <w:sz w:val="19"/>
              </w:rPr>
              <w:t>schtraffic</w:t>
            </w:r>
          </w:p>
        </w:tc>
        <w:tc>
          <w:tcPr>
            <w:tcW w:type="dxa" w:w="3202"/>
          </w:tcPr>
          <w:p>
            <w:pPr>
              <w:spacing w:after="80" w:before="80"/>
            </w:pPr>
            <w:r>
              <w:rPr>
                <w:b w:val="0"/>
                <w:i w:val="0"/>
                <w:sz w:val="19"/>
              </w:rPr>
              <w:t>Flat by day type; equal annual heat</w:t>
            </w:r>
          </w:p>
        </w:tc>
      </w:tr>
      <w:tr>
        <w:trPr>
          <w:cantSplit/>
        </w:trPr>
        <w:tc>
          <w:tcPr>
            <w:tcW w:type="dxa" w:w="3202"/>
          </w:tcPr>
          <w:p>
            <w:pPr>
              <w:spacing w:after="80" w:before="80"/>
            </w:pPr>
            <w:r>
              <w:rPr>
                <w:b w:val="0"/>
                <w:i w:val="0"/>
                <w:sz w:val="19"/>
              </w:rPr>
              <w:t>timing_late</w:t>
            </w:r>
          </w:p>
        </w:tc>
        <w:tc>
          <w:tcPr>
            <w:tcW w:type="dxa" w:w="3202"/>
          </w:tcPr>
          <w:p>
            <w:pPr>
              <w:spacing w:after="80" w:before="80"/>
            </w:pPr>
            <w:r>
              <w:rPr>
                <w:b w:val="0"/>
                <w:i w:val="0"/>
                <w:sz w:val="19"/>
              </w:rPr>
              <w:t>schtraffic</w:t>
            </w:r>
          </w:p>
        </w:tc>
        <w:tc>
          <w:tcPr>
            <w:tcW w:type="dxa" w:w="3202"/>
          </w:tcPr>
          <w:p>
            <w:pPr>
              <w:spacing w:after="80" w:before="80"/>
            </w:pPr>
            <w:r>
              <w:rPr>
                <w:b w:val="0"/>
                <w:i w:val="0"/>
                <w:sz w:val="19"/>
              </w:rPr>
              <w:t>Four-hour delay; equal annual heat</w:t>
            </w:r>
          </w:p>
        </w:tc>
      </w:tr>
      <w:tr>
        <w:trPr>
          <w:cantSplit/>
        </w:trPr>
        <w:tc>
          <w:tcPr>
            <w:tcW w:type="dxa" w:w="3202"/>
          </w:tcPr>
          <w:p>
            <w:pPr>
              <w:spacing w:after="80" w:before="80"/>
            </w:pPr>
            <w:r>
              <w:rPr>
                <w:b w:val="0"/>
                <w:i w:val="0"/>
                <w:sz w:val="19"/>
              </w:rPr>
              <w:t>hvac_0</w:t>
            </w:r>
          </w:p>
        </w:tc>
        <w:tc>
          <w:tcPr>
            <w:tcW w:type="dxa" w:w="3202"/>
          </w:tcPr>
          <w:p>
            <w:pPr>
              <w:spacing w:after="80" w:before="80"/>
            </w:pPr>
            <w:r>
              <w:rPr>
                <w:b w:val="0"/>
                <w:i w:val="0"/>
                <w:sz w:val="19"/>
              </w:rPr>
              <w:t>h_mix</w:t>
            </w:r>
          </w:p>
        </w:tc>
        <w:tc>
          <w:tcPr>
            <w:tcW w:type="dxa" w:w="3202"/>
          </w:tcPr>
          <w:p>
            <w:pPr>
              <w:spacing w:after="80" w:before="80"/>
            </w:pPr>
            <w:r>
              <w:rPr>
                <w:b w:val="0"/>
                <w:i w:val="0"/>
                <w:sz w:val="19"/>
              </w:rPr>
              <w:t>0</w:t>
            </w:r>
          </w:p>
        </w:tc>
      </w:tr>
      <w:tr>
        <w:trPr>
          <w:cantSplit/>
        </w:trPr>
        <w:tc>
          <w:tcPr>
            <w:tcW w:type="dxa" w:w="3202"/>
          </w:tcPr>
          <w:p>
            <w:pPr>
              <w:spacing w:after="80" w:before="80"/>
            </w:pPr>
            <w:r>
              <w:rPr>
                <w:b w:val="0"/>
                <w:i w:val="0"/>
                <w:sz w:val="19"/>
              </w:rPr>
              <w:t>hvac_half</w:t>
            </w:r>
          </w:p>
        </w:tc>
        <w:tc>
          <w:tcPr>
            <w:tcW w:type="dxa" w:w="3202"/>
          </w:tcPr>
          <w:p>
            <w:pPr>
              <w:spacing w:after="80" w:before="80"/>
            </w:pPr>
            <w:r>
              <w:rPr>
                <w:b w:val="0"/>
                <w:i w:val="0"/>
                <w:sz w:val="19"/>
              </w:rPr>
              <w:t>h_mix</w:t>
            </w:r>
          </w:p>
        </w:tc>
        <w:tc>
          <w:tcPr>
            <w:tcW w:type="dxa" w:w="3202"/>
          </w:tcPr>
          <w:p>
            <w:pPr>
              <w:spacing w:after="80" w:before="80"/>
            </w:pPr>
            <w:r>
              <w:rPr>
                <w:b w:val="0"/>
                <w:i w:val="0"/>
                <w:sz w:val="19"/>
              </w:rPr>
              <w:t>0.5</w:t>
            </w:r>
          </w:p>
        </w:tc>
      </w:tr>
      <w:tr>
        <w:trPr>
          <w:cantSplit/>
        </w:trPr>
        <w:tc>
          <w:tcPr>
            <w:tcW w:type="dxa" w:w="3202"/>
          </w:tcPr>
          <w:p>
            <w:pPr>
              <w:spacing w:after="80" w:before="80"/>
            </w:pPr>
            <w:r>
              <w:rPr>
                <w:b w:val="0"/>
                <w:i w:val="0"/>
                <w:sz w:val="19"/>
              </w:rPr>
              <w:t>spatial_road_up</w:t>
            </w:r>
          </w:p>
        </w:tc>
        <w:tc>
          <w:tcPr>
            <w:tcW w:type="dxa" w:w="3202"/>
          </w:tcPr>
          <w:p>
            <w:pPr>
              <w:spacing w:after="80" w:before="80"/>
            </w:pPr>
            <w:r>
              <w:rPr>
                <w:b w:val="0"/>
                <w:i w:val="0"/>
                <w:sz w:val="19"/>
              </w:rPr>
              <w:t>sensanth</w:t>
            </w:r>
          </w:p>
        </w:tc>
        <w:tc>
          <w:tcPr>
            <w:tcW w:type="dxa" w:w="3202"/>
          </w:tcPr>
          <w:p>
            <w:pPr>
              <w:spacing w:after="80" w:before="80"/>
            </w:pPr>
            <w:r>
              <w:rPr>
                <w:b w:val="0"/>
                <w:i w:val="0"/>
                <w:sz w:val="19"/>
              </w:rPr>
              <w:t>10 + 20q W/m2</w:t>
            </w:r>
          </w:p>
        </w:tc>
      </w:tr>
      <w:tr>
        <w:trPr>
          <w:cantSplit/>
        </w:trPr>
        <w:tc>
          <w:tcPr>
            <w:tcW w:type="dxa" w:w="3202"/>
          </w:tcPr>
          <w:p>
            <w:pPr>
              <w:spacing w:after="80" w:before="80"/>
            </w:pPr>
            <w:r>
              <w:rPr>
                <w:b w:val="0"/>
                <w:i w:val="0"/>
                <w:sz w:val="19"/>
              </w:rPr>
              <w:t>spatial_road_down</w:t>
            </w:r>
          </w:p>
        </w:tc>
        <w:tc>
          <w:tcPr>
            <w:tcW w:type="dxa" w:w="3202"/>
          </w:tcPr>
          <w:p>
            <w:pPr>
              <w:spacing w:after="80" w:before="80"/>
            </w:pPr>
            <w:r>
              <w:rPr>
                <w:b w:val="0"/>
                <w:i w:val="0"/>
                <w:sz w:val="19"/>
              </w:rPr>
              <w:t>sensanth</w:t>
            </w:r>
          </w:p>
        </w:tc>
        <w:tc>
          <w:tcPr>
            <w:tcW w:type="dxa" w:w="3202"/>
          </w:tcPr>
          <w:p>
            <w:pPr>
              <w:spacing w:after="80" w:before="80"/>
            </w:pPr>
            <w:r>
              <w:rPr>
                <w:b w:val="0"/>
                <w:i w:val="0"/>
                <w:sz w:val="19"/>
              </w:rPr>
              <w:t>30 - 20q W/m2</w:t>
            </w:r>
          </w:p>
        </w:tc>
      </w:tr>
    </w:tbl>
    <w:p>
      <w:pPr>
        <w:spacing w:after="0"/>
      </w:pPr>
    </w:p>
    <w:p>
      <w:pPr>
        <w:pStyle w:val="Heading1"/>
      </w:pPr>
      <w:r>
        <w:rPr>
          <w:b w:val="0"/>
          <w:i w:val="0"/>
        </w:rPr>
        <w:t>Supplementary Table S11</w:t>
      </w:r>
    </w:p>
    <w:p>
      <w:pPr>
        <w:keepNext/>
      </w:pPr>
      <w:r>
        <w:rPr>
          <w:b w:val="0"/>
          <w:i w:val="0"/>
        </w:rPr>
        <w:t xml:space="preserve">Primary three-decimal results. Errors are maximum annual medoid RMSE in degrees Celsius. Unchanged files use the fixed baseline assignment. Complete criteria and assignments at both output precisions are in the companion CSV.</w:t>
      </w:r>
    </w:p>
    <w:tbl>
      <w:tblPr>
        <w:tblStyle w:val="TableGrid"/>
        <w:tblW w:type="auto" w:w="0"/>
        <w:tblLayout w:type="fixed"/>
        <w:tblLook w:firstColumn="1" w:firstRow="1" w:lastColumn="0" w:lastRow="0" w:noHBand="0" w:noVBand="1" w:val="04A0"/>
      </w:tblPr>
      <w:tblGrid>
        <w:gridCol w:w="2401"/>
        <w:gridCol w:w="2401"/>
        <w:gridCol w:w="2401"/>
        <w:gridCol w:w="2401"/>
      </w:tblGrid>
      <w:tr>
        <w:trPr>
          <w:cantSplit/>
          <w:tblHeader/>
        </w:trPr>
        <w:tc>
          <w:tcPr>
            <w:tcW w:type="dxa" w:w="2401"/>
            <w:shd w:fill="F0F0F0"/>
          </w:tcPr>
          <w:p>
            <w:pPr>
              <w:spacing w:after="80" w:before="80"/>
            </w:pPr>
            <w:r>
              <w:rPr>
                <w:b/>
                <w:i w:val="0"/>
                <w:sz w:val="19"/>
              </w:rPr>
              <w:t>State</w:t>
            </w:r>
          </w:p>
        </w:tc>
        <w:tc>
          <w:tcPr>
            <w:tcW w:type="dxa" w:w="2401"/>
            <w:shd w:fill="F0F0F0"/>
          </w:tcPr>
          <w:p>
            <w:pPr>
              <w:spacing w:after="80" w:before="80"/>
            </w:pPr>
            <w:r>
              <w:rPr>
                <w:b/>
                <w:i w:val="0"/>
                <w:sz w:val="19"/>
              </w:rPr>
              <w:t>Best four</w:t>
            </w:r>
          </w:p>
        </w:tc>
        <w:tc>
          <w:tcPr>
            <w:tcW w:type="dxa" w:w="2401"/>
            <w:shd w:fill="F0F0F0"/>
          </w:tcPr>
          <w:p>
            <w:pPr>
              <w:spacing w:after="80" w:before="80"/>
            </w:pPr>
            <w:r>
              <w:rPr>
                <w:b/>
                <w:i w:val="0"/>
                <w:sz w:val="19"/>
              </w:rPr>
              <w:t>Unchanged files</w:t>
            </w:r>
          </w:p>
        </w:tc>
        <w:tc>
          <w:tcPr>
            <w:tcW w:type="dxa" w:w="2401"/>
            <w:shd w:fill="F0F0F0"/>
          </w:tcPr>
          <w:p>
            <w:pPr>
              <w:spacing w:after="80" w:before="80"/>
            </w:pPr>
            <w:r>
              <w:rPr>
                <w:b/>
                <w:i w:val="0"/>
                <w:sz w:val="19"/>
              </w:rPr>
              <w:t>Minimum at 0.10 C</w:t>
            </w:r>
          </w:p>
        </w:tc>
      </w:tr>
      <w:tr>
        <w:trPr>
          <w:cantSplit/>
        </w:trPr>
        <w:tc>
          <w:tcPr>
            <w:tcW w:type="dxa" w:w="2401"/>
          </w:tcPr>
          <w:p>
            <w:pPr>
              <w:spacing w:after="80" w:before="80"/>
            </w:pPr>
            <w:r>
              <w:rPr>
                <w:b w:val="0"/>
                <w:i w:val="0"/>
                <w:sz w:val="19"/>
              </w:rPr>
              <w:t>baseline</w:t>
            </w:r>
          </w:p>
        </w:tc>
        <w:tc>
          <w:tcPr>
            <w:tcW w:type="dxa" w:w="2401"/>
          </w:tcPr>
          <w:p>
            <w:pPr>
              <w:spacing w:after="80" w:before="80"/>
            </w:pPr>
            <w:r>
              <w:rPr>
                <w:b w:val="0"/>
                <w:i w:val="0"/>
                <w:sz w:val="19"/>
              </w:rPr>
              <w:t xml:space="preserve">0.</w:t>
            </w:r>
            <w:r>
              <w:rPr>
                <w:b w:val="0"/>
                <w:i w:val="0"/>
                <w:sz w:val="19"/>
              </w:rPr>
              <w:t xml:space="preserve">040</w:t>
            </w:r>
          </w:p>
        </w:tc>
        <w:tc>
          <w:tcPr>
            <w:tcW w:type="dxa" w:w="2401"/>
          </w:tcPr>
          <w:p>
            <w:pPr>
              <w:spacing w:after="80" w:before="80"/>
            </w:pPr>
            <w:r>
              <w:rPr>
                <w:b w:val="0"/>
                <w:i w:val="0"/>
                <w:sz w:val="19"/>
              </w:rPr>
              <w:t xml:space="preserve">0.</w:t>
            </w:r>
            <w:r>
              <w:rPr>
                <w:b w:val="0"/>
                <w:i w:val="0"/>
                <w:sz w:val="19"/>
              </w:rPr>
              <w:t xml:space="preserve">040</w:t>
            </w:r>
          </w:p>
        </w:tc>
        <w:tc>
          <w:tcPr>
            <w:tcW w:type="dxa" w:w="2401"/>
          </w:tcPr>
          <w:p>
            <w:pPr>
              <w:spacing w:after="80" w:before="80"/>
            </w:pPr>
            <w:r>
              <w:rPr>
                <w:b w:val="0"/>
                <w:i w:val="0"/>
                <w:sz w:val="19"/>
              </w:rPr>
              <w:t>3</w:t>
            </w:r>
          </w:p>
        </w:tc>
      </w:tr>
      <w:tr>
        <w:trPr>
          <w:cantSplit/>
        </w:trPr>
        <w:tc>
          <w:tcPr>
            <w:tcW w:type="dxa" w:w="2401"/>
          </w:tcPr>
          <w:p>
            <w:pPr>
              <w:spacing w:after="80" w:before="80"/>
            </w:pPr>
            <w:r>
              <w:rPr>
                <w:b w:val="0"/>
                <w:i w:val="0"/>
                <w:sz w:val="19"/>
              </w:rPr>
              <w:t>heat_10</w:t>
            </w:r>
          </w:p>
        </w:tc>
        <w:tc>
          <w:tcPr>
            <w:tcW w:type="dxa" w:w="2401"/>
          </w:tcPr>
          <w:p>
            <w:pPr>
              <w:spacing w:after="80" w:before="80"/>
            </w:pPr>
            <w:r>
              <w:rPr>
                <w:b w:val="0"/>
                <w:i w:val="0"/>
                <w:sz w:val="19"/>
              </w:rPr>
              <w:t xml:space="preserve">0.</w:t>
            </w:r>
            <w:r>
              <w:rPr>
                <w:b w:val="0"/>
                <w:i w:val="0"/>
                <w:sz w:val="19"/>
              </w:rPr>
              <w:t xml:space="preserve">043</w:t>
            </w:r>
          </w:p>
        </w:tc>
        <w:tc>
          <w:tcPr>
            <w:tcW w:type="dxa" w:w="2401"/>
          </w:tcPr>
          <w:p>
            <w:pPr>
              <w:spacing w:after="80" w:before="80"/>
            </w:pPr>
            <w:r>
              <w:rPr>
                <w:b w:val="0"/>
                <w:i w:val="0"/>
                <w:sz w:val="19"/>
              </w:rPr>
              <w:t xml:space="preserve">0.</w:t>
            </w:r>
            <w:r>
              <w:rPr>
                <w:b w:val="0"/>
                <w:i w:val="0"/>
                <w:sz w:val="19"/>
              </w:rPr>
              <w:t xml:space="preserve">052</w:t>
            </w:r>
          </w:p>
        </w:tc>
        <w:tc>
          <w:tcPr>
            <w:tcW w:type="dxa" w:w="2401"/>
          </w:tcPr>
          <w:p>
            <w:pPr>
              <w:spacing w:after="80" w:before="80"/>
            </w:pPr>
            <w:r>
              <w:rPr>
                <w:b w:val="0"/>
                <w:i w:val="0"/>
                <w:sz w:val="19"/>
              </w:rPr>
              <w:t>3</w:t>
            </w:r>
          </w:p>
        </w:tc>
      </w:tr>
      <w:tr>
        <w:trPr>
          <w:cantSplit/>
        </w:trPr>
        <w:tc>
          <w:tcPr>
            <w:tcW w:type="dxa" w:w="2401"/>
          </w:tcPr>
          <w:p>
            <w:pPr>
              <w:spacing w:after="80" w:before="80"/>
            </w:pPr>
            <w:r>
              <w:rPr>
                <w:b w:val="0"/>
                <w:i w:val="0"/>
                <w:sz w:val="19"/>
              </w:rPr>
              <w:t>heat_40</w:t>
            </w:r>
          </w:p>
        </w:tc>
        <w:tc>
          <w:tcPr>
            <w:tcW w:type="dxa" w:w="2401"/>
          </w:tcPr>
          <w:p>
            <w:pPr>
              <w:spacing w:after="80" w:before="80"/>
            </w:pPr>
            <w:r>
              <w:rPr>
                <w:b w:val="0"/>
                <w:i w:val="0"/>
                <w:sz w:val="19"/>
              </w:rPr>
              <w:t xml:space="preserve">0.</w:t>
            </w:r>
            <w:r>
              <w:rPr>
                <w:b w:val="0"/>
                <w:i w:val="0"/>
                <w:sz w:val="19"/>
              </w:rPr>
              <w:t xml:space="preserve">036</w:t>
            </w:r>
          </w:p>
        </w:tc>
        <w:tc>
          <w:tcPr>
            <w:tcW w:type="dxa" w:w="2401"/>
          </w:tcPr>
          <w:p>
            <w:pPr>
              <w:spacing w:after="80" w:before="80"/>
            </w:pPr>
            <w:r>
              <w:rPr>
                <w:b w:val="0"/>
                <w:i w:val="0"/>
                <w:sz w:val="19"/>
              </w:rPr>
              <w:t xml:space="preserve">0.</w:t>
            </w:r>
            <w:r>
              <w:rPr>
                <w:b w:val="0"/>
                <w:i w:val="0"/>
                <w:sz w:val="19"/>
              </w:rPr>
              <w:t xml:space="preserve">049</w:t>
            </w:r>
          </w:p>
        </w:tc>
        <w:tc>
          <w:tcPr>
            <w:tcW w:type="dxa" w:w="2401"/>
          </w:tcPr>
          <w:p>
            <w:pPr>
              <w:spacing w:after="80" w:before="80"/>
            </w:pPr>
            <w:r>
              <w:rPr>
                <w:b w:val="0"/>
                <w:i w:val="0"/>
                <w:sz w:val="19"/>
              </w:rPr>
              <w:t>3</w:t>
            </w:r>
          </w:p>
        </w:tc>
      </w:tr>
      <w:tr>
        <w:trPr>
          <w:cantSplit/>
        </w:trPr>
        <w:tc>
          <w:tcPr>
            <w:tcW w:type="dxa" w:w="2401"/>
          </w:tcPr>
          <w:p>
            <w:pPr>
              <w:spacing w:after="80" w:before="80"/>
            </w:pPr>
            <w:r>
              <w:rPr>
                <w:b w:val="0"/>
                <w:i w:val="0"/>
                <w:sz w:val="19"/>
              </w:rPr>
              <w:t>timing_flat</w:t>
            </w:r>
          </w:p>
        </w:tc>
        <w:tc>
          <w:tcPr>
            <w:tcW w:type="dxa" w:w="2401"/>
          </w:tcPr>
          <w:p>
            <w:pPr>
              <w:spacing w:after="80" w:before="80"/>
            </w:pPr>
            <w:r>
              <w:rPr>
                <w:b w:val="0"/>
                <w:i w:val="0"/>
                <w:sz w:val="19"/>
              </w:rPr>
              <w:t xml:space="preserve">0.</w:t>
            </w:r>
            <w:r>
              <w:rPr>
                <w:b w:val="0"/>
                <w:i w:val="0"/>
                <w:sz w:val="19"/>
              </w:rPr>
              <w:t xml:space="preserve">036</w:t>
            </w:r>
          </w:p>
        </w:tc>
        <w:tc>
          <w:tcPr>
            <w:tcW w:type="dxa" w:w="2401"/>
          </w:tcPr>
          <w:p>
            <w:pPr>
              <w:spacing w:after="80" w:before="80"/>
            </w:pPr>
            <w:r>
              <w:rPr>
                <w:b w:val="0"/>
                <w:i w:val="0"/>
                <w:sz w:val="19"/>
              </w:rPr>
              <w:t xml:space="preserve">0.</w:t>
            </w:r>
            <w:r>
              <w:rPr>
                <w:b w:val="0"/>
                <w:i w:val="0"/>
                <w:sz w:val="19"/>
              </w:rPr>
              <w:t xml:space="preserve">037</w:t>
            </w:r>
          </w:p>
        </w:tc>
        <w:tc>
          <w:tcPr>
            <w:tcW w:type="dxa" w:w="2401"/>
          </w:tcPr>
          <w:p>
            <w:pPr>
              <w:spacing w:after="80" w:before="80"/>
            </w:pPr>
            <w:r>
              <w:rPr>
                <w:b w:val="0"/>
                <w:i w:val="0"/>
                <w:sz w:val="19"/>
              </w:rPr>
              <w:t>3</w:t>
            </w:r>
          </w:p>
        </w:tc>
      </w:tr>
      <w:tr>
        <w:trPr>
          <w:cantSplit/>
        </w:trPr>
        <w:tc>
          <w:tcPr>
            <w:tcW w:type="dxa" w:w="2401"/>
          </w:tcPr>
          <w:p>
            <w:pPr>
              <w:spacing w:after="80" w:before="80"/>
            </w:pPr>
            <w:r>
              <w:rPr>
                <w:b w:val="0"/>
                <w:i w:val="0"/>
                <w:sz w:val="19"/>
              </w:rPr>
              <w:t>timing_late</w:t>
            </w:r>
          </w:p>
        </w:tc>
        <w:tc>
          <w:tcPr>
            <w:tcW w:type="dxa" w:w="2401"/>
          </w:tcPr>
          <w:p>
            <w:pPr>
              <w:spacing w:after="80" w:before="80"/>
            </w:pPr>
            <w:r>
              <w:rPr>
                <w:b w:val="0"/>
                <w:i w:val="0"/>
                <w:sz w:val="19"/>
              </w:rPr>
              <w:t xml:space="preserve">0.</w:t>
            </w:r>
            <w:r>
              <w:rPr>
                <w:b w:val="0"/>
                <w:i w:val="0"/>
                <w:sz w:val="19"/>
              </w:rPr>
              <w:t xml:space="preserve">039</w:t>
            </w:r>
          </w:p>
        </w:tc>
        <w:tc>
          <w:tcPr>
            <w:tcW w:type="dxa" w:w="2401"/>
          </w:tcPr>
          <w:p>
            <w:pPr>
              <w:spacing w:after="80" w:before="80"/>
            </w:pPr>
            <w:r>
              <w:rPr>
                <w:b w:val="0"/>
                <w:i w:val="0"/>
                <w:sz w:val="19"/>
              </w:rPr>
              <w:t xml:space="preserve">0.</w:t>
            </w:r>
            <w:r>
              <w:rPr>
                <w:b w:val="0"/>
                <w:i w:val="0"/>
                <w:sz w:val="19"/>
              </w:rPr>
              <w:t xml:space="preserve">045</w:t>
            </w:r>
          </w:p>
        </w:tc>
        <w:tc>
          <w:tcPr>
            <w:tcW w:type="dxa" w:w="2401"/>
          </w:tcPr>
          <w:p>
            <w:pPr>
              <w:spacing w:after="80" w:before="80"/>
            </w:pPr>
            <w:r>
              <w:rPr>
                <w:b w:val="0"/>
                <w:i w:val="0"/>
                <w:sz w:val="19"/>
              </w:rPr>
              <w:t>3</w:t>
            </w:r>
          </w:p>
        </w:tc>
      </w:tr>
      <w:tr>
        <w:trPr>
          <w:cantSplit/>
        </w:trPr>
        <w:tc>
          <w:tcPr>
            <w:tcW w:type="dxa" w:w="2401"/>
          </w:tcPr>
          <w:p>
            <w:pPr>
              <w:spacing w:after="80" w:before="80"/>
            </w:pPr>
            <w:r>
              <w:rPr>
                <w:b w:val="0"/>
                <w:i w:val="0"/>
                <w:sz w:val="19"/>
              </w:rPr>
              <w:t>hvac_0</w:t>
            </w:r>
          </w:p>
        </w:tc>
        <w:tc>
          <w:tcPr>
            <w:tcW w:type="dxa" w:w="2401"/>
          </w:tcPr>
          <w:p>
            <w:pPr>
              <w:spacing w:after="80" w:before="80"/>
            </w:pPr>
            <w:r>
              <w:rPr>
                <w:b w:val="0"/>
                <w:i w:val="0"/>
                <w:sz w:val="19"/>
              </w:rPr>
              <w:t xml:space="preserve">0.</w:t>
            </w:r>
            <w:r>
              <w:rPr>
                <w:b w:val="0"/>
                <w:i w:val="0"/>
                <w:sz w:val="19"/>
              </w:rPr>
              <w:t xml:space="preserve">038</w:t>
            </w:r>
          </w:p>
        </w:tc>
        <w:tc>
          <w:tcPr>
            <w:tcW w:type="dxa" w:w="2401"/>
          </w:tcPr>
          <w:p>
            <w:pPr>
              <w:spacing w:after="80" w:before="80"/>
            </w:pPr>
            <w:r>
              <w:rPr>
                <w:b w:val="0"/>
                <w:i w:val="0"/>
                <w:sz w:val="19"/>
              </w:rPr>
              <w:t xml:space="preserve">0.</w:t>
            </w:r>
            <w:r>
              <w:rPr>
                <w:b w:val="0"/>
                <w:i w:val="0"/>
                <w:sz w:val="19"/>
              </w:rPr>
              <w:t xml:space="preserve">119</w:t>
            </w:r>
          </w:p>
        </w:tc>
        <w:tc>
          <w:tcPr>
            <w:tcW w:type="dxa" w:w="2401"/>
          </w:tcPr>
          <w:p>
            <w:pPr>
              <w:spacing w:after="80" w:before="80"/>
            </w:pPr>
            <w:r>
              <w:rPr>
                <w:b w:val="0"/>
                <w:i w:val="0"/>
                <w:sz w:val="19"/>
              </w:rPr>
              <w:t>2</w:t>
            </w:r>
          </w:p>
        </w:tc>
      </w:tr>
      <w:tr>
        <w:trPr>
          <w:cantSplit/>
        </w:trPr>
        <w:tc>
          <w:tcPr>
            <w:tcW w:type="dxa" w:w="2401"/>
          </w:tcPr>
          <w:p>
            <w:pPr>
              <w:spacing w:after="80" w:before="80"/>
            </w:pPr>
            <w:r>
              <w:rPr>
                <w:b w:val="0"/>
                <w:i w:val="0"/>
                <w:sz w:val="19"/>
              </w:rPr>
              <w:t>hvac_half</w:t>
            </w:r>
          </w:p>
        </w:tc>
        <w:tc>
          <w:tcPr>
            <w:tcW w:type="dxa" w:w="2401"/>
          </w:tcPr>
          <w:p>
            <w:pPr>
              <w:spacing w:after="80" w:before="80"/>
            </w:pPr>
            <w:r>
              <w:rPr>
                <w:b w:val="0"/>
                <w:i w:val="0"/>
                <w:sz w:val="19"/>
              </w:rPr>
              <w:t xml:space="preserve">0.</w:t>
            </w:r>
            <w:r>
              <w:rPr>
                <w:b w:val="0"/>
                <w:i w:val="0"/>
                <w:sz w:val="19"/>
              </w:rPr>
              <w:t xml:space="preserve">040</w:t>
            </w:r>
          </w:p>
        </w:tc>
        <w:tc>
          <w:tcPr>
            <w:tcW w:type="dxa" w:w="2401"/>
          </w:tcPr>
          <w:p>
            <w:pPr>
              <w:spacing w:after="80" w:before="80"/>
            </w:pPr>
            <w:r>
              <w:rPr>
                <w:b w:val="0"/>
                <w:i w:val="0"/>
                <w:sz w:val="19"/>
              </w:rPr>
              <w:t xml:space="preserve">0.</w:t>
            </w:r>
            <w:r>
              <w:rPr>
                <w:b w:val="0"/>
                <w:i w:val="0"/>
                <w:sz w:val="19"/>
              </w:rPr>
              <w:t xml:space="preserve">054</w:t>
            </w:r>
          </w:p>
        </w:tc>
        <w:tc>
          <w:tcPr>
            <w:tcW w:type="dxa" w:w="2401"/>
          </w:tcPr>
          <w:p>
            <w:pPr>
              <w:spacing w:after="80" w:before="80"/>
            </w:pPr>
            <w:r>
              <w:rPr>
                <w:b w:val="0"/>
                <w:i w:val="0"/>
                <w:sz w:val="19"/>
              </w:rPr>
              <w:t>2</w:t>
            </w:r>
          </w:p>
        </w:tc>
      </w:tr>
      <w:tr>
        <w:trPr>
          <w:cantSplit/>
        </w:trPr>
        <w:tc>
          <w:tcPr>
            <w:tcW w:type="dxa" w:w="2401"/>
          </w:tcPr>
          <w:p>
            <w:pPr>
              <w:spacing w:after="80" w:before="80"/>
            </w:pPr>
            <w:r>
              <w:rPr>
                <w:b w:val="0"/>
                <w:i w:val="0"/>
                <w:sz w:val="19"/>
              </w:rPr>
              <w:t>spatial_road_up</w:t>
            </w:r>
          </w:p>
        </w:tc>
        <w:tc>
          <w:tcPr>
            <w:tcW w:type="dxa" w:w="2401"/>
          </w:tcPr>
          <w:p>
            <w:pPr>
              <w:spacing w:after="80" w:before="80"/>
            </w:pPr>
            <w:r>
              <w:rPr>
                <w:b w:val="0"/>
                <w:i w:val="0"/>
                <w:sz w:val="19"/>
              </w:rPr>
              <w:t xml:space="preserve">0.</w:t>
            </w:r>
            <w:r>
              <w:rPr>
                <w:b w:val="0"/>
                <w:i w:val="0"/>
                <w:sz w:val="19"/>
              </w:rPr>
              <w:t xml:space="preserve">036</w:t>
            </w:r>
          </w:p>
        </w:tc>
        <w:tc>
          <w:tcPr>
            <w:tcW w:type="dxa" w:w="2401"/>
          </w:tcPr>
          <w:p>
            <w:pPr>
              <w:spacing w:after="80" w:before="80"/>
            </w:pPr>
            <w:r>
              <w:rPr>
                <w:b w:val="0"/>
                <w:i w:val="0"/>
                <w:sz w:val="19"/>
              </w:rPr>
              <w:t xml:space="preserve">0.</w:t>
            </w:r>
            <w:r>
              <w:rPr>
                <w:b w:val="0"/>
                <w:i w:val="0"/>
                <w:sz w:val="19"/>
              </w:rPr>
              <w:t xml:space="preserve">039</w:t>
            </w:r>
          </w:p>
        </w:tc>
        <w:tc>
          <w:tcPr>
            <w:tcW w:type="dxa" w:w="2401"/>
          </w:tcPr>
          <w:p>
            <w:pPr>
              <w:spacing w:after="80" w:before="80"/>
            </w:pPr>
            <w:r>
              <w:rPr>
                <w:b w:val="0"/>
                <w:i w:val="0"/>
                <w:sz w:val="19"/>
              </w:rPr>
              <w:t>3</w:t>
            </w:r>
          </w:p>
        </w:tc>
      </w:tr>
      <w:tr>
        <w:trPr>
          <w:cantSplit/>
        </w:trPr>
        <w:tc>
          <w:tcPr>
            <w:tcW w:type="dxa" w:w="2401"/>
          </w:tcPr>
          <w:p>
            <w:pPr>
              <w:spacing w:after="80" w:before="80"/>
            </w:pPr>
            <w:r>
              <w:rPr>
                <w:b w:val="0"/>
                <w:i w:val="0"/>
                <w:sz w:val="19"/>
              </w:rPr>
              <w:t>spatial_road_down</w:t>
            </w:r>
          </w:p>
        </w:tc>
        <w:tc>
          <w:tcPr>
            <w:tcW w:type="dxa" w:w="2401"/>
          </w:tcPr>
          <w:p>
            <w:pPr>
              <w:spacing w:after="80" w:before="80"/>
            </w:pPr>
            <w:r>
              <w:rPr>
                <w:b w:val="0"/>
                <w:i w:val="0"/>
                <w:sz w:val="19"/>
              </w:rPr>
              <w:t xml:space="preserve">0.</w:t>
            </w:r>
            <w:r>
              <w:rPr>
                <w:b w:val="0"/>
                <w:i w:val="0"/>
                <w:sz w:val="19"/>
              </w:rPr>
              <w:t xml:space="preserve">035</w:t>
            </w:r>
          </w:p>
        </w:tc>
        <w:tc>
          <w:tcPr>
            <w:tcW w:type="dxa" w:w="2401"/>
          </w:tcPr>
          <w:p>
            <w:pPr>
              <w:spacing w:after="80" w:before="80"/>
            </w:pPr>
            <w:r>
              <w:rPr>
                <w:b w:val="0"/>
                <w:i w:val="0"/>
                <w:sz w:val="19"/>
              </w:rPr>
              <w:t xml:space="preserve">0.</w:t>
            </w:r>
            <w:r>
              <w:rPr>
                <w:b w:val="0"/>
                <w:i w:val="0"/>
                <w:sz w:val="19"/>
              </w:rPr>
              <w:t xml:space="preserve">041</w:t>
            </w:r>
          </w:p>
        </w:tc>
        <w:tc>
          <w:tcPr>
            <w:tcW w:type="dxa" w:w="2401"/>
          </w:tcPr>
          <w:p>
            <w:pPr>
              <w:spacing w:after="80" w:before="80"/>
            </w:pPr>
            <w:r>
              <w:rPr>
                <w:b w:val="0"/>
                <w:i w:val="0"/>
                <w:sz w:val="19"/>
              </w:rPr>
              <w:t>3</w:t>
            </w:r>
          </w:p>
        </w:tc>
      </w:tr>
    </w:tbl>
    <w:p>
      <w:pPr>
        <w:spacing w:after="0"/>
      </w:pPr>
    </w:p>
    <w:p>
      <w:r>
        <w:rPr>
          <w:b w:val="0"/>
          <w:i w:val="0"/>
        </w:rPr>
        <w:t xml:space="preserve">At one decimal, road-down fails the improvement-ratio criterion (0.</w:t>
      </w:r>
      <w:r>
        <w:rPr>
          <w:b w:val="0"/>
          <w:i w:val="0"/>
        </w:rPr>
        <w:t xml:space="preserve">98</w:t>
      </w:r>
      <w:r>
        <w:rPr>
          <w:b w:val="0"/>
          <w:i w:val="0"/>
        </w:rPr>
        <w:t xml:space="preserve">; required at least 2), while four-file maximum RMSE is 0.</w:t>
      </w:r>
      <w:r>
        <w:rPr>
          <w:b w:val="0"/>
          <w:i w:val="0"/>
        </w:rPr>
        <w:t xml:space="preserve">059</w:t>
      </w:r>
      <w:r>
        <w:rPr>
          <w:b w:val="0"/>
          <w:i w:val="0"/>
        </w:rPr>
        <w:t xml:space="preserve"> C. Other primary-state criteria are met. Representative changes are secondary tie-breaks, not changes in the primary minimax value.</w:t>
      </w:r>
    </w:p>
    <w:p>
      <w:pPr>
        <w:pStyle w:val="Heading1"/>
      </w:pPr>
      <w:r>
        <w:rPr>
          <w:b w:val="0"/>
          <w:i w:val="0"/>
        </w:rPr>
        <w:t>Supplementary Table S12</w:t>
      </w:r>
    </w:p>
    <w:p>
      <w:pPr>
        <w:keepNext/>
      </w:pPr>
      <w:r>
        <w:rPr>
          <w:b w:val="0"/>
          <w:i w:val="0"/>
        </w:rPr>
        <w:t>Purposive non-medoid maxima at three decimals. Each maximum is over 14 supports, not a population percentile. Full assignment modes and both precisions are in the companion CSV.</w:t>
      </w:r>
    </w:p>
    <w:tbl>
      <w:tblPr>
        <w:tblStyle w:val="TableGrid"/>
        <w:tblW w:type="auto" w:w="0"/>
        <w:tblLayout w:type="fixed"/>
        <w:tblLook w:firstColumn="1" w:firstRow="1" w:lastColumn="0" w:lastRow="0" w:noHBand="0" w:noVBand="1" w:val="04A0"/>
      </w:tblPr>
      <w:tblGrid>
        <w:gridCol w:w="3202"/>
        <w:gridCol w:w="3202"/>
        <w:gridCol w:w="3202"/>
      </w:tblGrid>
      <w:tr>
        <w:trPr>
          <w:cantSplit/>
          <w:tblHeader/>
        </w:trPr>
        <w:tc>
          <w:tcPr>
            <w:tcW w:type="dxa" w:w="3202"/>
            <w:shd w:fill="F0F0F0"/>
          </w:tcPr>
          <w:p>
            <w:pPr>
              <w:keepNext/>
              <w:spacing w:after="80" w:before="80"/>
            </w:pPr>
            <w:r>
              <w:rPr>
                <w:b/>
                <w:i w:val="0"/>
                <w:sz w:val="19"/>
              </w:rPr>
              <w:t>State</w:t>
            </w:r>
          </w:p>
        </w:tc>
        <w:tc>
          <w:tcPr>
            <w:tcW w:type="dxa" w:w="3202"/>
            <w:shd w:fill="F0F0F0"/>
          </w:tcPr>
          <w:p>
            <w:pPr>
              <w:keepNext/>
              <w:spacing w:after="80" w:before="80"/>
            </w:pPr>
            <w:r>
              <w:rPr>
                <w:b/>
                <w:i w:val="0"/>
                <w:sz w:val="19"/>
              </w:rPr>
              <w:t>Own-class maximum RMSE (C)</w:t>
            </w:r>
          </w:p>
        </w:tc>
        <w:tc>
          <w:tcPr>
            <w:tcW w:type="dxa" w:w="3202"/>
            <w:shd w:fill="F0F0F0"/>
          </w:tcPr>
          <w:p>
            <w:pPr>
              <w:keepNext/>
              <w:spacing w:after="80" w:before="80"/>
            </w:pPr>
            <w:r>
              <w:rPr>
                <w:b/>
                <w:i w:val="0"/>
                <w:sz w:val="19"/>
              </w:rPr>
              <w:t>Worst grid</w:t>
            </w:r>
          </w:p>
        </w:tc>
      </w:tr>
      <w:tr>
        <w:trPr>
          <w:cantSplit/>
        </w:trPr>
        <w:tc>
          <w:tcPr>
            <w:tcW w:type="dxa" w:w="3202"/>
          </w:tcPr>
          <w:p>
            <w:pPr>
              <w:keepNext/>
              <w:spacing w:after="80" w:before="80"/>
            </w:pPr>
            <w:r>
              <w:rPr>
                <w:b w:val="0"/>
                <w:i w:val="0"/>
                <w:sz w:val="19"/>
              </w:rPr>
              <w:t>baseline</w:t>
            </w:r>
          </w:p>
        </w:tc>
        <w:tc>
          <w:tcPr>
            <w:tcW w:type="dxa" w:w="3202"/>
          </w:tcPr>
          <w:p>
            <w:pPr>
              <w:keepNext/>
              <w:spacing w:after="80" w:before="80"/>
            </w:pPr>
            <w:r>
              <w:rPr>
                <w:b w:val="0"/>
                <w:i w:val="0"/>
                <w:sz w:val="19"/>
              </w:rPr>
              <w:t xml:space="preserve">0.</w:t>
            </w:r>
            <w:r>
              <w:rPr>
                <w:b w:val="0"/>
                <w:i w:val="0"/>
                <w:sz w:val="19"/>
              </w:rPr>
              <w:t xml:space="preserve">349</w:t>
            </w:r>
          </w:p>
        </w:tc>
        <w:tc>
          <w:tcPr>
            <w:tcW w:type="dxa" w:w="3202"/>
          </w:tcPr>
          <w:p>
            <w:pPr>
              <w:keepNext/>
              <w:spacing w:after="80" w:before="80"/>
            </w:pPr>
            <w:r>
              <w:rPr>
                <w:b w:val="0"/>
                <w:i w:val="0"/>
                <w:sz w:val="19"/>
              </w:rPr>
              <w:t>921</w:t>
            </w:r>
          </w:p>
        </w:tc>
      </w:tr>
      <w:tr>
        <w:trPr>
          <w:cantSplit/>
        </w:trPr>
        <w:tc>
          <w:tcPr>
            <w:tcW w:type="dxa" w:w="3202"/>
          </w:tcPr>
          <w:p>
            <w:pPr>
              <w:keepNext/>
              <w:spacing w:after="80" w:before="80"/>
            </w:pPr>
            <w:r>
              <w:rPr>
                <w:b w:val="0"/>
                <w:i w:val="0"/>
                <w:sz w:val="19"/>
              </w:rPr>
              <w:t>spatial_road_up</w:t>
            </w:r>
          </w:p>
        </w:tc>
        <w:tc>
          <w:tcPr>
            <w:tcW w:type="dxa" w:w="3202"/>
          </w:tcPr>
          <w:p>
            <w:pPr>
              <w:keepNext/>
              <w:spacing w:after="80" w:before="80"/>
            </w:pPr>
            <w:r>
              <w:rPr>
                <w:b w:val="0"/>
                <w:i w:val="0"/>
                <w:sz w:val="19"/>
              </w:rPr>
              <w:t xml:space="preserve">0.</w:t>
            </w:r>
            <w:r>
              <w:rPr>
                <w:b w:val="0"/>
                <w:i w:val="0"/>
                <w:sz w:val="19"/>
              </w:rPr>
              <w:t xml:space="preserve">347</w:t>
            </w:r>
          </w:p>
        </w:tc>
        <w:tc>
          <w:tcPr>
            <w:tcW w:type="dxa" w:w="3202"/>
          </w:tcPr>
          <w:p>
            <w:pPr>
              <w:keepNext/>
              <w:spacing w:after="80" w:before="80"/>
            </w:pPr>
            <w:r>
              <w:rPr>
                <w:b w:val="0"/>
                <w:i w:val="0"/>
                <w:sz w:val="19"/>
              </w:rPr>
              <w:t>921</w:t>
            </w:r>
          </w:p>
        </w:tc>
      </w:tr>
      <w:tr>
        <w:trPr>
          <w:cantSplit/>
        </w:trPr>
        <w:tc>
          <w:tcPr>
            <w:tcW w:type="dxa" w:w="3202"/>
          </w:tcPr>
          <w:p>
            <w:pPr>
              <w:spacing w:after="80" w:before="80"/>
            </w:pPr>
            <w:r>
              <w:rPr>
                <w:b w:val="0"/>
                <w:i w:val="0"/>
                <w:sz w:val="19"/>
              </w:rPr>
              <w:t>spatial_road_down</w:t>
            </w:r>
          </w:p>
        </w:tc>
        <w:tc>
          <w:tcPr>
            <w:tcW w:type="dxa" w:w="3202"/>
          </w:tcPr>
          <w:p>
            <w:pPr>
              <w:spacing w:after="80" w:before="80"/>
            </w:pPr>
            <w:r>
              <w:rPr>
                <w:b w:val="0"/>
                <w:i w:val="0"/>
                <w:sz w:val="19"/>
              </w:rPr>
              <w:t xml:space="preserve">0.</w:t>
            </w:r>
            <w:r>
              <w:rPr>
                <w:b w:val="0"/>
                <w:i w:val="0"/>
                <w:sz w:val="19"/>
              </w:rPr>
              <w:t xml:space="preserve">363</w:t>
            </w:r>
          </w:p>
        </w:tc>
        <w:tc>
          <w:tcPr>
            <w:tcW w:type="dxa" w:w="3202"/>
          </w:tcPr>
          <w:p>
            <w:pPr>
              <w:spacing w:after="80" w:before="80"/>
            </w:pPr>
            <w:r>
              <w:rPr>
                <w:b w:val="0"/>
                <w:i w:val="0"/>
                <w:sz w:val="19"/>
              </w:rPr>
              <w:t>921</w:t>
            </w:r>
          </w:p>
        </w:tc>
      </w:tr>
    </w:tbl>
    <w:p>
      <w:pPr>
        <w:spacing w:after="0"/>
      </w:pPr>
    </w:p>
    <w:p>
      <w:pPr>
        <w:pStyle w:val="Heading1"/>
      </w:pPr>
      <w:r>
        <w:rPr>
          <w:b w:val="0"/>
          <w:i w:val="0"/>
        </w:rPr>
        <w:t>Supplementary Table S13</w:t>
      </w:r>
    </w:p>
    <w:p>
      <w:r>
        <w:rPr>
          <w:b w:val="0"/>
          <w:i w:val="0"/>
        </w:rPr>
        <w:t xml:space="preserve">Companion file: </w:t>
      </w:r>
      <w:r>
        <w:rPr>
          <w:rFonts w:ascii="Consolas" w:hAnsi="Consolas"/>
          <w:b w:val="0"/>
          <w:i w:val="0"/>
          <w:sz w:val="18"/>
        </w:rPr>
        <w:t>tables/S13_heat_support_characteristics.csv</w:t>
      </w:r>
      <w:r>
        <w:rPr>
          <w:b w:val="0"/>
          <w:i w:val="0"/>
        </w:rPr>
        <w:t xml:space="preserve">. All 21 supports include grid ID, class, road fraction and rank, building density, height, facade/site ratio, tree and grass cover, and baseline shared controls. Heights and lengths are metres; cover and facade/site values are ratios, not percentages. </w:t>
      </w:r>
      <w:r>
        <w:rPr>
          <w:rFonts w:ascii="Consolas" w:hAnsi="Consolas"/>
          <w:b w:val="0"/>
          <w:i w:val="0"/>
          <w:sz w:val="18"/>
        </w:rPr>
        <w:t>baseline_json</w:t>
      </w:r>
      <w:r>
        <w:rPr>
          <w:b w:val="0"/>
          <w:i w:val="0"/>
        </w:rPr>
        <w:t xml:space="preserve"> is relative to </w:t>
      </w:r>
      <w:r>
        <w:rPr>
          <w:rFonts w:ascii="Consolas" w:hAnsi="Consolas"/>
          <w:b w:val="0"/>
          <w:i w:val="0"/>
          <w:sz w:val="18"/>
        </w:rPr>
        <w:t>heat_sensitivity/</w:t>
      </w:r>
      <w:r>
        <w:rPr>
          <w:b w:val="0"/>
          <w:i w:val="0"/>
        </w:rPr>
        <w:t>.</w:t>
      </w:r>
    </w:p>
    <w:p>
      <w:pPr>
        <w:pStyle w:val="Heading1"/>
        <w:keepNext/>
      </w:pPr>
      <w:r>
        <w:rPr>
          <w:b w:val="0"/>
          <w:i w:val="0"/>
        </w:rPr>
        <w:t>Supplementary Figure S1</w:t>
      </w:r>
    </w:p>
    <w:p>
      <w:pPr>
        <w:keepNext/>
        <w:jc w:val="center"/>
      </w:pPr>
      <w:r>
        <w:drawing>
          <wp:inline xmlns:a="http://schemas.openxmlformats.org/drawingml/2006/main" xmlns:pic="http://schemas.openxmlformats.org/drawingml/2006/picture">
            <wp:extent cx="6099048" cy="5184191"/>
            <wp:docPr id="1" name="Picture 1"/>
            <wp:cNvGraphicFramePr>
              <a:graphicFrameLocks noChangeAspect="1"/>
            </wp:cNvGraphicFramePr>
            <a:graphic>
              <a:graphicData uri="http://schemas.openxmlformats.org/drawingml/2006/picture">
                <pic:pic>
                  <pic:nvPicPr>
                    <pic:cNvPr id="0" name="figureS1_official_building_use.png"/>
                    <pic:cNvPicPr/>
                  </pic:nvPicPr>
                  <pic:blipFill>
                    <a:blip r:embed="rId10"/>
                    <a:stretch>
                      <a:fillRect/>
                    </a:stretch>
                  </pic:blipFill>
                  <pic:spPr>
                    <a:xfrm>
                      <a:off x="0" y="0"/>
                      <a:ext cx="6099048" cy="5184191"/>
                    </a:xfrm>
                    <a:prstGeom prst="rect"/>
                  </pic:spPr>
                </pic:pic>
              </a:graphicData>
            </a:graphic>
          </wp:inline>
        </w:drawing>
      </w:r>
    </w:p>
    <w:p>
      <w:r>
        <w:rPr>
          <w:b w:val="0"/>
          <w:i w:val="0"/>
        </w:rPr>
        <w:t>Official mapped building-use evidence for the audited industrial site. Outlined 500 m tail supports overlap; their count is not a count of independent areas. The geometry/land-use audit checks physical plausibility, not observed stock era or temperature accuracy.</w:t>
      </w:r>
    </w:p>
    <w:p>
      <w:pPr>
        <w:pStyle w:val="Heading1"/>
        <w:keepNext/>
        <w:pageBreakBefore/>
      </w:pPr>
      <w:r>
        <w:rPr>
          <w:b w:val="0"/>
          <w:i w:val="0"/>
        </w:rPr>
        <w:t>Supplementary Figure S2</w:t>
      </w:r>
    </w:p>
    <w:p>
      <w:pPr>
        <w:keepNext/>
        <w:jc w:val="center"/>
      </w:pPr>
      <w:r>
        <w:drawing>
          <wp:inline xmlns:a="http://schemas.openxmlformats.org/drawingml/2006/main" xmlns:pic="http://schemas.openxmlformats.org/drawingml/2006/picture">
            <wp:extent cx="6099048" cy="5184191"/>
            <wp:docPr id="2" name="Picture 2"/>
            <wp:cNvGraphicFramePr>
              <a:graphicFrameLocks noChangeAspect="1"/>
            </wp:cNvGraphicFramePr>
            <a:graphic>
              <a:graphicData uri="http://schemas.openxmlformats.org/drawingml/2006/picture">
                <pic:pic>
                  <pic:nvPicPr>
                    <pic:cNvPr id="0" name="figureS2_official_building_use.png"/>
                    <pic:cNvPicPr/>
                  </pic:nvPicPr>
                  <pic:blipFill>
                    <a:blip r:embed="rId11"/>
                    <a:stretch>
                      <a:fillRect/>
                    </a:stretch>
                  </pic:blipFill>
                  <pic:spPr>
                    <a:xfrm>
                      <a:off x="0" y="0"/>
                      <a:ext cx="6099048" cy="5184191"/>
                    </a:xfrm>
                    <a:prstGeom prst="rect"/>
                  </pic:spPr>
                </pic:pic>
              </a:graphicData>
            </a:graphic>
          </wp:inline>
        </w:drawing>
      </w:r>
    </w:p>
    <w:p>
      <w:r>
        <w:rPr>
          <w:b w:val="0"/>
          <w:i w:val="0"/>
        </w:rPr>
        <w:t>Official mapped building-use evidence for the audited industrial site. Outlined 500 m tail supports overlap; their count is not a count of independent areas. The geometry/land-use audit checks physical plausibility, not observed stock era or temperature accuracy.</w:t>
      </w:r>
    </w:p>
    <w:p>
      <w:pPr>
        <w:pStyle w:val="Heading1"/>
        <w:keepNext/>
        <w:pageBreakBefore/>
      </w:pPr>
      <w:r>
        <w:rPr>
          <w:b w:val="0"/>
          <w:i w:val="0"/>
        </w:rPr>
        <w:t>Supplementary Figure S3</w:t>
      </w:r>
    </w:p>
    <w:p>
      <w:pPr>
        <w:keepNext/>
        <w:jc w:val="center"/>
        <w:rPr/>
      </w:pPr>
      <w:r>
        <w:drawing>
          <wp:inline xmlns:a="http://schemas.openxmlformats.org/drawingml/2006/main" xmlns:pic="http://schemas.openxmlformats.org/drawingml/2006/picture">
            <wp:extent cx="6099048" cy="5513806"/>
            <wp:docPr id="7" name="figureS3_heat_reduction_curves" descr="figureS3 heat reduction curves"/>
            <wp:cNvGraphicFramePr>
              <a:graphicFrameLocks noChangeAspect="1"/>
            </wp:cNvGraphicFramePr>
            <a:graphic>
              <a:graphicData uri="http://schemas.openxmlformats.org/drawingml/2006/picture">
                <pic:pic>
                  <pic:nvPicPr>
                    <pic:cNvPr id="0" name="figureS3_medoid_reduction_curves.png"/>
                    <pic:cNvPicPr/>
                  </pic:nvPicPr>
                  <pic:blipFill>
                    <a:blip r:embed="rIdRev02_figureS3_heat_reduction_curves"/>
                    <a:stretch>
                      <a:fillRect/>
                    </a:stretch>
                  </pic:blipFill>
                  <pic:spPr>
                    <a:xfrm>
                      <a:off x="0" y="0"/>
                      <a:ext cx="6099048" cy="5513806"/>
                    </a:xfrm>
                    <a:prstGeom prst="rect"/>
                  </pic:spPr>
                </pic:pic>
              </a:graphicData>
            </a:graphic>
          </wp:inline>
        </w:drawing>
      </w:r>
    </w:p>
    <w:p>
      <w:r>
        <w:rPr>
          <w:b w:val="0"/>
          <w:i w:val="0"/>
        </w:rPr>
        <w:t>Complete medoid reduction curves at three-decimal precision for the additional heat scenarios. The dashed line is the 0.10 C diagnostic tolerance, which alone does not require four files. One-decimal results are retained in Table S11 and the full companion CSVs.</w:t>
      </w:r>
    </w:p>
    <w:p>
      <w:pPr>
        <w:pStyle w:val="Heading1"/>
        <w:keepNext/>
        <w:pageBreakBefore/>
      </w:pPr>
      <w:r>
        <w:rPr>
          <w:b w:val="0"/>
          <w:i w:val="0"/>
        </w:rPr>
        <w:t>Supplementary Figure S4</w:t>
      </w:r>
    </w:p>
    <w:p>
      <w:pPr>
        <w:keepNext/>
        <w:jc w:val="center"/>
        <w:rPr/>
      </w:pPr>
      <w:r>
        <w:drawing>
          <wp:inline xmlns:a="http://schemas.openxmlformats.org/drawingml/2006/main" xmlns:pic="http://schemas.openxmlformats.org/drawingml/2006/picture">
            <wp:extent cx="6099048" cy="4265989"/>
            <wp:docPr id="8" name="figureS4_existing_vs_regenerated" descr="figureS4 existing vs regenerated"/>
            <wp:cNvGraphicFramePr>
              <a:graphicFrameLocks noChangeAspect="1"/>
            </wp:cNvGraphicFramePr>
            <a:graphic>
              <a:graphicData uri="http://schemas.openxmlformats.org/drawingml/2006/picture">
                <pic:pic>
                  <pic:nvPicPr>
                    <pic:cNvPr id="0" name="figureS4_existing_vs_regenerated_files.png"/>
                    <pic:cNvPicPr/>
                  </pic:nvPicPr>
                  <pic:blipFill>
                    <a:blip r:embed="rIdRev02_figureS4_existing_vs_regenerated"/>
                    <a:stretch>
                      <a:fillRect/>
                    </a:stretch>
                  </pic:blipFill>
                  <pic:spPr>
                    <a:xfrm>
                      <a:off x="0" y="0"/>
                      <a:ext cx="6099048" cy="4265989"/>
                    </a:xfrm>
                    <a:prstGeom prst="rect"/>
                  </pic:spPr>
                </pic:pic>
              </a:graphicData>
            </a:graphic>
          </wp:inline>
        </w:drawing>
      </w:r>
    </w:p>
    <w:p>
      <w:r>
        <w:rPr>
          <w:b w:val="0"/>
          <w:i w:val="0"/>
        </w:rPr>
        <w:t xml:space="preserve">Maximum annual error of unchanged baseline files, rerun baseline representatives and scenario-optimised representations against the seven medoids, at three-decimal precision. Both baseline-identity cases use the fixed assignment; the optimised case uses its own mapping. These are model-to-model comparisons, not observational validation.</w:t>
      </w:r>
    </w:p>
    <w:p>
      <w:pPr>
        <w:pStyle w:val="Heading1"/>
        <w:keepNext/>
        <w:pageBreakBefore/>
      </w:pPr>
      <w:r>
        <w:rPr>
          <w:b w:val="0"/>
          <w:i w:val="0"/>
        </w:rPr>
        <w:t>Supplementary Figure S5</w:t>
      </w:r>
    </w:p>
    <w:p>
      <w:pPr>
        <w:keepNext/>
        <w:jc w:val="center"/>
        <w:rPr/>
      </w:pPr>
      <w:r>
        <w:drawing>
          <wp:inline xmlns:a="http://schemas.openxmlformats.org/drawingml/2006/main" xmlns:pic="http://schemas.openxmlformats.org/drawingml/2006/picture">
            <wp:extent cx="6099048" cy="3305141"/>
            <wp:docPr id="9" name="figureS5_nonmedoid_spatial" descr="figureS5 nonmedoid spatial"/>
            <wp:cNvGraphicFramePr>
              <a:graphicFrameLocks noChangeAspect="1"/>
            </wp:cNvGraphicFramePr>
            <a:graphic>
              <a:graphicData uri="http://schemas.openxmlformats.org/drawingml/2006/picture">
                <pic:pic>
                  <pic:nvPicPr>
                    <pic:cNvPr id="0" name="figureS5_nonmedoid_spatial_tests.png"/>
                    <pic:cNvPicPr/>
                  </pic:nvPicPr>
                  <pic:blipFill>
                    <a:blip r:embed="rIdRev02_figureS5_nonmedoid_spatial"/>
                    <a:stretch>
                      <a:fillRect/>
                    </a:stretch>
                  </pic:blipFill>
                  <pic:spPr>
                    <a:xfrm>
                      <a:off x="0" y="0"/>
                      <a:ext cx="6099048" cy="3305141"/>
                    </a:xfrm>
                    <a:prstGeom prst="rect"/>
                  </pic:spPr>
                </pic:pic>
              </a:graphicData>
            </a:graphic>
          </wp:inline>
        </w:drawing>
      </w:r>
    </w:p>
    <w:p>
      <w:r>
        <w:rPr>
          <w:b w:val="0"/>
          <w:i w:val="0"/>
        </w:rPr>
        <w:t>Annual fixed-map errors for 14 GIS-selected non-medoids, at three-decimal precision. Scenario errors using unchanged or rerun representatives are compared with baseline error. Each support is a purposive road-share contrast; maxima are not citywide error percentiles.</w:t>
      </w:r>
    </w:p>
    <w:p>
      <w:pPr>
        <w:pStyle w:val="Heading1"/>
        <w:keepNext/>
        <w:pageBreakBefore/>
      </w:pPr>
      <w:r>
        <w:rPr>
          <w:b w:val="0"/>
          <w:i w:val="0"/>
        </w:rPr>
        <w:t>Supplementary Figure S6</w:t>
      </w:r>
    </w:p>
    <w:p>
      <w:pPr>
        <w:keepNext/>
        <w:jc w:val="center"/>
        <w:rPr/>
      </w:pPr>
      <w:r>
        <w:drawing>
          <wp:inline xmlns:a="http://schemas.openxmlformats.org/drawingml/2006/main" xmlns:pic="http://schemas.openxmlformats.org/drawingml/2006/picture">
            <wp:extent cx="6099048" cy="2581831"/>
            <wp:docPr id="10" name="figureS6_timing_profiles" descr="figureS6 timing profiles"/>
            <wp:cNvGraphicFramePr>
              <a:graphicFrameLocks noChangeAspect="1"/>
            </wp:cNvGraphicFramePr>
            <a:graphic>
              <a:graphicData uri="http://schemas.openxmlformats.org/drawingml/2006/picture">
                <pic:pic>
                  <pic:nvPicPr>
                    <pic:cNvPr id="0" name="figureS6_traffic_timing_profiles.png"/>
                    <pic:cNvPicPr/>
                  </pic:nvPicPr>
                  <pic:blipFill>
                    <a:blip r:embed="rIdRev02_figureS6_timing_profiles"/>
                    <a:stretch>
                      <a:fillRect/>
                    </a:stretch>
                  </pic:blipFill>
                  <pic:spPr>
                    <a:xfrm>
                      <a:off x="0" y="0"/>
                      <a:ext cx="6099048" cy="2581831"/>
                    </a:xfrm>
                    <a:prstGeom prst="rect"/>
                  </pic:spPr>
                </pic:pic>
              </a:graphicData>
            </a:graphic>
          </wp:inline>
        </w:drawing>
      </w:r>
    </w:p>
    <w:p>
      <w:r>
        <w:rPr>
          <w:b w:val="0"/>
          <w:i w:val="0"/>
        </w:rPr>
        <w:t>Baseline, flat and four-hour-delayed traffic schedule multipliers by UWG day type. Flat and delayed profiles preserve annual prescribed heat using exact model timestep counts; these are input schedules, not measured traffic or temperature responses. Monthly day/night responses are supplied separately in the companion CSVs.</w:t>
      </w:r>
    </w:p>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Supplementary material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revisionView w:markup="1" w:insDel="1" w:formatting="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Rev02_figureS3_heat_reduction_curves" Type="http://schemas.openxmlformats.org/officeDocument/2006/relationships/image" Target="media/rev02_figureS3_heat_reduction_curves.png"/><Relationship Id="rIdRev02_figureS4_existing_vs_regenerated" Type="http://schemas.openxmlformats.org/officeDocument/2006/relationships/image" Target="media/rev02_figureS4_existing_vs_regenerated.png"/><Relationship Id="rIdRev02_figureS5_nonmedoid_spatial" Type="http://schemas.openxmlformats.org/officeDocument/2006/relationships/image" Target="media/rev02_figureS5_nonmedoid_spatial.png"/><Relationship Id="rIdRev02_figureS6_timing_profiles" Type="http://schemas.openxmlformats.org/officeDocument/2006/relationships/image" Target="media/rev02_figureS6_timing_profile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and diagnostic results</dc:title>
  <dc:subject/>
  <dc:creator>Ali JahaniRahaei and Giacomo Chiesa</dc:creator>
  <cp:keywords/>
  <dc:description>Supplementary methods and diagnostic results</dc:description>
  <cp:lastModifiedBy>Ali JahaniRahaei and Giacomo Chiesa</cp:lastModifiedBy>
  <cp:revision>1</cp:revision>
  <dcterms:created xsi:type="dcterms:W3CDTF">2013-12-23T23:15:00Z</dcterms:created>
  <dcterms:modified xsi:type="dcterms:W3CDTF">2013-12-23T23:15:00Z</dcterms:modified>
  <cp:category/>
</cp:coreProperties>
</file>