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5FA3" w:sz="6" w:space="4"/>
        </w:pBdr>
        <w:spacing w:after="160" w:before="360"/>
      </w:pPr>
      <w:r>
        <w:rPr>
          <w:rFonts w:ascii="Arial" w:cs="Arial" w:eastAsia="Arial" w:hAnsi="Arial"/>
          <w:b/>
          <w:bCs/>
          <w:color w:val="1F3864"/>
          <w:sz w:val="30"/>
          <w:szCs w:val="30"/>
        </w:rPr>
        <w:t xml:space="preserve">3. Methodology</w:t>
      </w:r>
    </w:p>
    <w:p>
      <w:pPr>
        <w:pStyle w:val="Heading2"/>
        <w:spacing w:after="120" w:before="280"/>
      </w:pPr>
      <w:r>
        <w:rPr>
          <w:rFonts w:ascii="Arial" w:cs="Arial" w:eastAsia="Arial" w:hAnsi="Arial"/>
          <w:b/>
          <w:bCs/>
          <w:color w:val="2E5FA3"/>
          <w:sz w:val="26"/>
          <w:szCs w:val="26"/>
        </w:rPr>
        <w:t xml:space="preserve">3.1  Research Design</w:t>
      </w:r>
    </w:p>
    <w:p>
      <w:pPr>
        <w:spacing w:after="100" w:before="100" w:line="320"/>
        <w:jc w:val="both"/>
      </w:pPr>
      <w:r>
        <w:rPr>
          <w:rFonts w:ascii="Arial" w:cs="Arial" w:eastAsia="Arial" w:hAnsi="Arial"/>
          <w:b w:val="false"/>
          <w:bCs w:val="false"/>
          <w:i w:val="false"/>
          <w:iCs w:val="false"/>
          <w:color w:val="000000"/>
          <w:sz w:val="22"/>
          <w:szCs w:val="22"/>
        </w:rPr>
        <w:t xml:space="preserve">This study adopts a quantitative, cross-sectional survey design to examine generational differences in quick commerce consumer behaviour across Indian urban markets. A structured questionnaire was administered digitally via Google Forms between April 10–18, 2026. The cross-sectional design enables simultaneous comparison of two distinct generational cohorts — Gen Z (aged 14–30) and Gen X (aged 40–75) — on behavioural and attitudinal dimensions related to quick commerce usage, without the logistical complexity of a longitudinal study.</w:t>
      </w:r>
    </w:p>
    <w:p>
      <w:pPr>
        <w:spacing w:after="100" w:before="100" w:line="320"/>
        <w:jc w:val="both"/>
      </w:pPr>
      <w:r>
        <w:rPr>
          <w:rFonts w:ascii="Arial" w:cs="Arial" w:eastAsia="Arial" w:hAnsi="Arial"/>
          <w:b w:val="false"/>
          <w:bCs w:val="false"/>
          <w:i w:val="false"/>
          <w:iCs w:val="false"/>
          <w:color w:val="000000"/>
          <w:sz w:val="22"/>
          <w:szCs w:val="22"/>
        </w:rPr>
        <w:t xml:space="preserve">The study is primarily explanatory in nature: while descriptive statistics characterise each cohort, the central objective is to test whether observed differences in order frequency, spending, eco-friendly purchasing, and time-of-day preferences are statistically significant — and to quantify those differences with formal confidence intervals.</w:t>
      </w:r>
    </w:p>
    <w:p>
      <w:pPr>
        <w:pStyle w:val="Heading2"/>
        <w:spacing w:after="120" w:before="280"/>
      </w:pPr>
      <w:r>
        <w:rPr>
          <w:rFonts w:ascii="Arial" w:cs="Arial" w:eastAsia="Arial" w:hAnsi="Arial"/>
          <w:b/>
          <w:bCs/>
          <w:color w:val="2E5FA3"/>
          <w:sz w:val="26"/>
          <w:szCs w:val="26"/>
        </w:rPr>
        <w:t xml:space="preserve">3.2  Survey Instrument</w:t>
      </w:r>
    </w:p>
    <w:p>
      <w:pPr>
        <w:spacing w:after="100" w:before="100" w:line="320"/>
        <w:jc w:val="both"/>
      </w:pPr>
      <w:r>
        <w:rPr>
          <w:rFonts w:ascii="Arial" w:cs="Arial" w:eastAsia="Arial" w:hAnsi="Arial"/>
          <w:b w:val="false"/>
          <w:bCs w:val="false"/>
          <w:i w:val="false"/>
          <w:iCs w:val="false"/>
          <w:color w:val="000000"/>
          <w:sz w:val="22"/>
          <w:szCs w:val="22"/>
        </w:rPr>
        <w:t xml:space="preserve">The questionnaire comprised 12 closed-ended quantitative items and four demographic classifiers. Quantitative items captured: weekly order frequency, last order spend (in INR), discount dependency (7-point Likert), proportion of eco-friendly items ordered (count out of 7), delivery speed satisfaction (7-point Likert), peak ordering time (four categories), number of apps installed, impulse item count, app frustration rating (7-point Likert), delivery time preference, primary product categories, and main motivation for platform use. Likert-scale anchors were calibrated to 1–7 to allow finer granularity than conventional 5-point scales.</w:t>
      </w:r>
    </w:p>
    <w:p>
      <w:pPr>
        <w:spacing w:after="100" w:before="100" w:line="320"/>
        <w:jc w:val="both"/>
      </w:pPr>
      <w:r>
        <w:rPr>
          <w:rFonts w:ascii="Arial" w:cs="Arial" w:eastAsia="Arial" w:hAnsi="Arial"/>
          <w:b w:val="false"/>
          <w:bCs w:val="false"/>
          <w:i w:val="false"/>
          <w:iCs w:val="false"/>
          <w:color w:val="000000"/>
          <w:sz w:val="22"/>
          <w:szCs w:val="22"/>
        </w:rPr>
        <w:t xml:space="preserve">Respondents were segmented at the point of collection by self-reported age band (Group 1: 14–30; Group 2: 40–75), subsequently re-labelled Gen Z and Gen X for analytical clarity. City tier (Tier-1, Tier-2, Tier-3) was collected as a proxy for market maturity and infrastructure quality.</w:t>
      </w:r>
    </w:p>
    <w:p>
      <w:pPr>
        <w:pStyle w:val="Heading2"/>
        <w:spacing w:after="120" w:before="280"/>
      </w:pPr>
      <w:r>
        <w:rPr>
          <w:rFonts w:ascii="Arial" w:cs="Arial" w:eastAsia="Arial" w:hAnsi="Arial"/>
          <w:b/>
          <w:bCs/>
          <w:color w:val="2E5FA3"/>
          <w:sz w:val="26"/>
          <w:szCs w:val="26"/>
        </w:rPr>
        <w:t xml:space="preserve">3.3  Sampling Strategy</w:t>
      </w:r>
    </w:p>
    <w:p>
      <w:pPr>
        <w:spacing w:after="100" w:before="100" w:line="320"/>
        <w:jc w:val="both"/>
      </w:pPr>
      <w:r>
        <w:rPr>
          <w:rFonts w:ascii="Arial" w:cs="Arial" w:eastAsia="Arial" w:hAnsi="Arial"/>
          <w:b w:val="false"/>
          <w:bCs w:val="false"/>
          <w:i w:val="false"/>
          <w:iCs w:val="false"/>
          <w:color w:val="000000"/>
          <w:sz w:val="22"/>
          <w:szCs w:val="22"/>
        </w:rPr>
        <w:t xml:space="preserve">Convenience sampling was employed, with the survey distributed through social and professional networks. A deliberate effort was made to balance representation across both generational cohorts; final usable responses comprised 54 Gen Z and 47 Gen X participants. While non-probability sampling limits strict external generalisability, the sample is appropriate for exploratory hypothesis testing and generating directional insights about generational behavioural differences.</w:t>
      </w:r>
    </w:p>
    <w:p>
      <w:pPr>
        <w:pStyle w:val="Heading2"/>
        <w:spacing w:after="120" w:before="280"/>
      </w:pPr>
      <w:r>
        <w:rPr>
          <w:rFonts w:ascii="Arial" w:cs="Arial" w:eastAsia="Arial" w:hAnsi="Arial"/>
          <w:b/>
          <w:bCs/>
          <w:color w:val="2E5FA3"/>
          <w:sz w:val="26"/>
          <w:szCs w:val="26"/>
        </w:rPr>
        <w:t xml:space="preserve">3.4  Data Cleaning and Exclusion Criteria</w:t>
      </w:r>
    </w:p>
    <w:p>
      <w:pPr>
        <w:spacing w:after="100" w:before="100" w:line="320"/>
        <w:jc w:val="both"/>
      </w:pPr>
      <w:r>
        <w:rPr>
          <w:rFonts w:ascii="Arial" w:cs="Arial" w:eastAsia="Arial" w:hAnsi="Arial"/>
          <w:b w:val="false"/>
          <w:bCs w:val="false"/>
          <w:i w:val="false"/>
          <w:iCs w:val="false"/>
          <w:color w:val="000000"/>
          <w:sz w:val="22"/>
          <w:szCs w:val="22"/>
        </w:rPr>
        <w:t xml:space="preserve">Raw data (121 responses) underwent a three-stage cleaning process before analysis:</w:t>
      </w:r>
    </w:p>
    <w:p>
      <w:pPr>
        <w:pStyle w:val="ListParagraph"/>
        <w:numPr>
          <w:ilvl w:val="0"/>
          <w:numId w:val="2"/>
        </w:numPr>
        <w:spacing w:after="60" w:before="60"/>
      </w:pPr>
      <w:r>
        <w:rPr>
          <w:rFonts w:ascii="Arial" w:cs="Arial" w:eastAsia="Arial" w:hAnsi="Arial"/>
          <w:b w:val="false"/>
          <w:bCs w:val="false"/>
          <w:sz w:val="22"/>
          <w:szCs w:val="22"/>
        </w:rPr>
        <w:t xml:space="preserve">Stage 1 — Extreme outlier removal: Two responses were excluded as implausible data entries. One Gen X respondent reported 67 orders in 7 days with a spend of INR 10,000,000 (almost certainly a test or joke entry). A second Gen X response recorded 1,577 weekly orders with a spend of INR 8, suggesting a column shift or data corruption. Both were flagged and removed, leaving 119 observations.</w:t>
      </w:r>
    </w:p>
    <w:p>
      <w:pPr>
        <w:pStyle w:val="ListParagraph"/>
        <w:numPr>
          <w:ilvl w:val="0"/>
          <w:numId w:val="2"/>
        </w:numPr>
        <w:spacing w:after="60" w:before="60"/>
      </w:pPr>
      <w:r>
        <w:rPr>
          <w:rFonts w:ascii="Arial" w:cs="Arial" w:eastAsia="Arial" w:hAnsi="Arial"/>
          <w:b w:val="false"/>
          <w:bCs w:val="false"/>
          <w:sz w:val="22"/>
          <w:szCs w:val="22"/>
        </w:rPr>
        <w:t xml:space="preserve">Stage 2 — Zero-order exclusion: An additional 18 responses reported zero orders in the past 7 days. Including non-users would conflate usage behaviour with non-adoption, distorting group means and violating the Poisson distributional assumption (a zero-inflated distribution would require a separate model). These were excluded, yielding a final analytical sample of 101 active quick commerce users.</w:t>
      </w:r>
    </w:p>
    <w:p>
      <w:pPr>
        <w:pStyle w:val="ListParagraph"/>
        <w:numPr>
          <w:ilvl w:val="0"/>
          <w:numId w:val="2"/>
        </w:numPr>
        <w:spacing w:after="60" w:before="60"/>
      </w:pPr>
      <w:r>
        <w:rPr>
          <w:rFonts w:ascii="Arial" w:cs="Arial" w:eastAsia="Arial" w:hAnsi="Arial"/>
          <w:b w:val="false"/>
          <w:bCs w:val="false"/>
          <w:sz w:val="22"/>
          <w:szCs w:val="22"/>
        </w:rPr>
        <w:t xml:space="preserve">Stage 3 — Variable standardisation: Free-text entries for 'Main Reason' were mapped to five canonical categories (Convenience, 24/7 Availability, Speed, Variety, Discounts). Binary response fields (Yes/No) were recoded to 1/0 for use in regression and proportion tests. Category columns were parsed to produce dummy indicator variables for each product category.</w:t>
      </w:r>
    </w:p>
    <w:p>
      <w:pPr>
        <w:spacing w:after="0" w:before="0"/>
      </w:pPr>
      <w:r>
        <w:t xml:space="preserve"/>
      </w:r>
    </w:p>
    <w:p>
      <w:pPr>
        <w:spacing w:after="100" w:before="100" w:line="320"/>
        <w:jc w:val="both"/>
      </w:pPr>
      <w:r>
        <w:rPr>
          <w:rFonts w:ascii="Arial" w:cs="Arial" w:eastAsia="Arial" w:hAnsi="Arial"/>
          <w:b/>
          <w:bCs/>
          <w:i w:val="false"/>
          <w:iCs w:val="false"/>
          <w:color w:val="000000"/>
          <w:sz w:val="22"/>
          <w:szCs w:val="22"/>
        </w:rPr>
        <w:t xml:space="preserve">Final analytical sample: </w:t>
      </w:r>
      <w:r>
        <w:rPr>
          <w:rFonts w:ascii="Arial" w:cs="Arial" w:eastAsia="Arial" w:hAnsi="Arial"/>
          <w:b w:val="false"/>
          <w:bCs w:val="false"/>
          <w:i w:val="false"/>
          <w:iCs w:val="false"/>
          <w:color w:val="000000"/>
          <w:sz w:val="22"/>
          <w:szCs w:val="22"/>
        </w:rPr>
        <w:t xml:space="preserve">n = 101  (Gen Z: 54 | Gen X: 47)</w:t>
      </w:r>
    </w:p>
    <w:p>
      <w:pPr>
        <w:pStyle w:val="Heading2"/>
        <w:spacing w:after="120" w:before="280"/>
      </w:pPr>
      <w:r>
        <w:rPr>
          <w:rFonts w:ascii="Arial" w:cs="Arial" w:eastAsia="Arial" w:hAnsi="Arial"/>
          <w:b/>
          <w:bCs/>
          <w:color w:val="2E5FA3"/>
          <w:sz w:val="26"/>
          <w:szCs w:val="26"/>
        </w:rPr>
        <w:t xml:space="preserve">3.5  Statistical Models and Methods</w:t>
      </w:r>
    </w:p>
    <w:p>
      <w:pPr>
        <w:spacing w:after="100" w:before="100" w:line="320"/>
        <w:jc w:val="both"/>
      </w:pPr>
      <w:r>
        <w:rPr>
          <w:rFonts w:ascii="Arial" w:cs="Arial" w:eastAsia="Arial" w:hAnsi="Arial"/>
          <w:b w:val="false"/>
          <w:bCs w:val="false"/>
          <w:i w:val="false"/>
          <w:iCs w:val="false"/>
          <w:color w:val="000000"/>
          <w:sz w:val="22"/>
          <w:szCs w:val="22"/>
        </w:rPr>
        <w:t xml:space="preserve">Four research questions are addressed, each with a dedicated probability model, estimation method, and hypothesis test. All tests are conducted at a significance level of α = 0.05.</w:t>
      </w:r>
    </w:p>
    <w:p>
      <w:pPr>
        <w:pStyle w:val="Heading3"/>
        <w:spacing w:after="80" w:before="200"/>
      </w:pPr>
      <w:r>
        <w:rPr>
          <w:rFonts w:ascii="Arial" w:cs="Arial" w:eastAsia="Arial" w:hAnsi="Arial"/>
          <w:b/>
          <w:bCs/>
          <w:i/>
          <w:iCs/>
          <w:color w:val="1F3864"/>
          <w:sz w:val="23"/>
          <w:szCs w:val="23"/>
        </w:rPr>
        <w:t xml:space="preserve">RQ1 — Order Frequency: Poisson Model with MLE</w:t>
      </w:r>
    </w:p>
    <w:p>
      <w:pPr>
        <w:spacing w:after="100" w:before="100" w:line="320"/>
        <w:jc w:val="both"/>
      </w:pPr>
      <w:r>
        <w:rPr>
          <w:rFonts w:ascii="Arial" w:cs="Arial" w:eastAsia="Arial" w:hAnsi="Arial"/>
          <w:b w:val="false"/>
          <w:bCs w:val="false"/>
          <w:i w:val="false"/>
          <w:iCs w:val="false"/>
          <w:color w:val="000000"/>
          <w:sz w:val="22"/>
          <w:szCs w:val="22"/>
        </w:rPr>
        <w:t xml:space="preserve">Weekly order count is treated as a Poisson random variable, appropriate for non-negative integer count data with no theoretical upper bound. The Poisson rate parameter λ is estimated via Maximum Likelihood Estimation (MLE), which for Poisson data simplifies to the sample mean. A one-tailed Likelihood Ratio Test (LRT) is used to test H₀: λ_Z = λ_X against H₁: λ_Z &gt; λ_X. The LRT statistic −2[ℓ(λ̂_pooled) − ℓ(λ̂_Z) − ℓ(λ̂_X)] follows a χ²(1) distribution under the null; the one-tailed p-value is obtained by halving the chi-square tail probability. A 95% confidence interval for the difference λ_Z − λ_X is derived using the standard error √(λ_Z/n_Z + λ_X/n_X).</w:t>
      </w:r>
    </w:p>
    <w:p>
      <w:pPr>
        <w:pStyle w:val="Heading3"/>
        <w:spacing w:after="80" w:before="200"/>
      </w:pPr>
      <w:r>
        <w:rPr>
          <w:rFonts w:ascii="Arial" w:cs="Arial" w:eastAsia="Arial" w:hAnsi="Arial"/>
          <w:b/>
          <w:bCs/>
          <w:i/>
          <w:iCs/>
          <w:color w:val="1F3864"/>
          <w:sz w:val="23"/>
          <w:szCs w:val="23"/>
        </w:rPr>
        <w:t xml:space="preserve">RQ2 — Spending: Log-Normal Model with MLE</w:t>
      </w:r>
    </w:p>
    <w:p>
      <w:pPr>
        <w:spacing w:after="100" w:before="100" w:line="320"/>
        <w:jc w:val="both"/>
      </w:pPr>
      <w:r>
        <w:rPr>
          <w:rFonts w:ascii="Arial" w:cs="Arial" w:eastAsia="Arial" w:hAnsi="Arial"/>
          <w:b w:val="false"/>
          <w:bCs w:val="false"/>
          <w:i w:val="false"/>
          <w:iCs w:val="false"/>
          <w:color w:val="000000"/>
          <w:sz w:val="22"/>
          <w:szCs w:val="22"/>
        </w:rPr>
        <w:t xml:space="preserve">Per-order spend exhibits strong positive skewness — a well-recognised property of expenditure distributions — making the log-normal model appropriate. Under this model, log(spend) ~ N(μ, σ²), and MLE estimates are: μ̂ = mean(log xᵢ) and σ̂² = variance(log xᵢ). The expected spend on the original scale is recovered as E[X] = exp(μ̂ + σ̂²/2). A two-sample t-test is performed on log-transformed spend values to test H₀: μ_Z = μ_X against H₁: μ_Z ≠ μ_X. A 95% confidence interval for the ratio of means μ_Z/μ_X is constructed via the delta method on the log scale. Observations with INR 0 spend (n = 7 Gen Z, n = 3 Gen X) are excluded from this analysis, as log(0) is undefined and likely reflects orders with full discount coverage rather than true zero expenditure.</w:t>
      </w:r>
    </w:p>
    <w:p>
      <w:pPr>
        <w:pStyle w:val="Heading3"/>
        <w:spacing w:after="80" w:before="200"/>
      </w:pPr>
      <w:r>
        <w:rPr>
          <w:rFonts w:ascii="Arial" w:cs="Arial" w:eastAsia="Arial" w:hAnsi="Arial"/>
          <w:b/>
          <w:bCs/>
          <w:i/>
          <w:iCs/>
          <w:color w:val="1F3864"/>
          <w:sz w:val="23"/>
          <w:szCs w:val="23"/>
        </w:rPr>
        <w:t xml:space="preserve">RQ4 — Eco-Friendly Proportion: Binomial Model with Agresti-Coull CI</w:t>
      </w:r>
    </w:p>
    <w:p>
      <w:pPr>
        <w:spacing w:after="100" w:before="100" w:line="320"/>
        <w:jc w:val="both"/>
      </w:pPr>
      <w:r>
        <w:rPr>
          <w:rFonts w:ascii="Arial" w:cs="Arial" w:eastAsia="Arial" w:hAnsi="Arial"/>
          <w:b w:val="false"/>
          <w:bCs w:val="false"/>
          <w:i w:val="false"/>
          <w:iCs w:val="false"/>
          <w:color w:val="000000"/>
          <w:sz w:val="22"/>
          <w:szCs w:val="22"/>
        </w:rPr>
        <w:t xml:space="preserve">Each respondent's eco-friendly item count (out of 7 orders) is modelled as a binomial random variable with unknown success probability π. MLE for the binomial simplifies to the sample proportion. Individual response proportions are averaged within each cohort to produce π̂_Z and π̂_X. The Agresti-Coull method is used for within-group confidence intervals, as it provides superior coverage compared to the Wald interval, especially at boundary proportions. The difference π_Z − π_X is tested using a one-tailed z-test with H₀: π_Z = π_X against H₁: π_Z &gt; π_X, consistent with the hypothesis that Gen Z exhibits greater environmental consciousness in purchasing. A 95% CI for the difference is computed using the pooled standard error formula.</w:t>
      </w:r>
    </w:p>
    <w:p>
      <w:pPr>
        <w:pStyle w:val="Heading3"/>
        <w:spacing w:after="80" w:before="200"/>
      </w:pPr>
      <w:r>
        <w:rPr>
          <w:rFonts w:ascii="Arial" w:cs="Arial" w:eastAsia="Arial" w:hAnsi="Arial"/>
          <w:b/>
          <w:bCs/>
          <w:i/>
          <w:iCs/>
          <w:color w:val="1F3864"/>
          <w:sz w:val="23"/>
          <w:szCs w:val="23"/>
        </w:rPr>
        <w:t xml:space="preserve">RQ6 — Time-of-Day: Multinomial Model with Chi-Square Test</w:t>
      </w:r>
    </w:p>
    <w:p>
      <w:pPr>
        <w:spacing w:after="100" w:before="100" w:line="320"/>
        <w:jc w:val="both"/>
      </w:pPr>
      <w:r>
        <w:rPr>
          <w:rFonts w:ascii="Arial" w:cs="Arial" w:eastAsia="Arial" w:hAnsi="Arial"/>
          <w:b w:val="false"/>
          <w:bCs w:val="false"/>
          <w:i w:val="false"/>
          <w:iCs w:val="false"/>
          <w:color w:val="000000"/>
          <w:sz w:val="22"/>
          <w:szCs w:val="22"/>
        </w:rPr>
        <w:t xml:space="preserve">Order timing is discretised into four mutually exclusive categories — Morning, Noon/Afternoon, Evening, and Late Night — and modelled as a multinomial random variable. MLE estimates for each category's probability are simply the observed sample proportions within each cohort. Simultaneous 95% confidence intervals for differences in category-level probabilities are Bonferroni-corrected (critical value z = 2.498 for k = 4 comparisons) to control the familywise error rate. A chi-square test of homogeneity assesses H₀: the time-of-day distributions are identical across Gen Z and Gen X, against H₁: they differ. The test statistic follows χ²(3) under the null.</w:t>
      </w:r>
    </w:p>
    <w:p>
      <w:pPr>
        <w:spacing w:after="0" w:before="0"/>
      </w:pPr>
      <w:r>
        <w:t xml:space="preserve"/>
      </w:r>
    </w:p>
    <w:p>
      <w:pPr>
        <w:spacing w:after="0" w:before="0"/>
      </w:pPr>
      <w:r>
        <w:t xml:space="preserve"/>
      </w:r>
    </w:p>
    <w:p>
      <w:r>
        <w:br w:type="page"/>
      </w:r>
    </w:p>
    <w:p>
      <w:pPr>
        <w:pStyle w:val="Heading1"/>
        <w:pBdr>
          <w:bottom w:val="single" w:color="2E5FA3" w:sz="6" w:space="4"/>
        </w:pBdr>
        <w:spacing w:after="160" w:before="360"/>
      </w:pPr>
      <w:r>
        <w:rPr>
          <w:rFonts w:ascii="Arial" w:cs="Arial" w:eastAsia="Arial" w:hAnsi="Arial"/>
          <w:b/>
          <w:bCs/>
          <w:color w:val="1F3864"/>
          <w:sz w:val="30"/>
          <w:szCs w:val="30"/>
        </w:rPr>
        <w:t xml:space="preserve">4. Descriptive Analysis</w:t>
      </w:r>
    </w:p>
    <w:p>
      <w:pPr>
        <w:pStyle w:val="Heading2"/>
        <w:spacing w:after="120" w:before="280"/>
      </w:pPr>
      <w:r>
        <w:rPr>
          <w:rFonts w:ascii="Arial" w:cs="Arial" w:eastAsia="Arial" w:hAnsi="Arial"/>
          <w:b/>
          <w:bCs/>
          <w:color w:val="2E5FA3"/>
          <w:sz w:val="26"/>
          <w:szCs w:val="26"/>
        </w:rPr>
        <w:t xml:space="preserve">4.1  Sample Demographics</w:t>
      </w:r>
    </w:p>
    <w:p>
      <w:pPr>
        <w:spacing w:after="100" w:before="100" w:line="320"/>
        <w:jc w:val="both"/>
      </w:pPr>
      <w:r>
        <w:rPr>
          <w:rFonts w:ascii="Arial" w:cs="Arial" w:eastAsia="Arial" w:hAnsi="Arial"/>
          <w:b w:val="false"/>
          <w:bCs w:val="false"/>
          <w:i w:val="false"/>
          <w:iCs w:val="false"/>
          <w:color w:val="000000"/>
          <w:sz w:val="22"/>
          <w:szCs w:val="22"/>
        </w:rPr>
        <w:t xml:space="preserve">Table 1 summarises the demographic composition of the final analytical sample (n = 101). The sample is predominantly Tier-1 urban (57%), with a moderate Tier-2 presence (32%) and limited Tier-3 representation (11%). Employment status differs sharply by generation, as expected: 75% of Gen Z respondents are students versus 0% of Gen X, while Gen X is dominated by full-time employees (54%) and self-employed individuals (19%). Married respondents constitute 85% of Gen X versus 17% of Gen Z, again reflecting lifecycle stage rather than a sampling artefact.</w:t>
      </w:r>
    </w:p>
    <w:p>
      <w:pPr>
        <w:spacing w:after="0" w:before="0"/>
      </w:pPr>
      <w:r>
        <w:t xml:space="preserve"/>
      </w:r>
    </w:p>
    <w:p>
      <w:pPr>
        <w:spacing w:after="80" w:before="160"/>
        <w:jc w:val="center"/>
      </w:pPr>
      <w:r>
        <w:rPr>
          <w:rFonts w:ascii="Arial" w:cs="Arial" w:eastAsia="Arial" w:hAnsi="Arial"/>
          <w:b/>
          <w:bCs/>
          <w:i/>
          <w:iCs/>
          <w:sz w:val="22"/>
          <w:szCs w:val="22"/>
        </w:rPr>
        <w:t xml:space="preserve">Table 1. Sample Demographics by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00"/>
        <w:gridCol w:w="2100"/>
      </w:tblGrid>
      <w:tr>
        <w:tc>
          <w:tcPr>
            <w:tcW w:type="dxa" w:w="30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16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 (n=54)</w:t>
            </w:r>
          </w:p>
        </w:tc>
        <w:tc>
          <w:tcPr>
            <w:tcW w:type="dxa" w:w="2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 (n=47)</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City Tier</w:t>
            </w:r>
          </w:p>
        </w:tc>
        <w:tc>
          <w:tcPr>
            <w:tcW w:type="dxa" w:w="21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Tier-1</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56.9%</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59.3%</w:t>
            </w:r>
          </w:p>
        </w:tc>
      </w:tr>
      <w:tr>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Tier-2</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32.3%</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31.5%</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Tier-3</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10.8%</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9.3%</w:t>
            </w:r>
          </w:p>
        </w:tc>
      </w:tr>
      <w:tr>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Employment</w:t>
            </w:r>
          </w:p>
        </w:tc>
        <w:tc>
          <w:tcPr>
            <w:tcW w:type="dxa" w:w="21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Student</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75.4%</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0.0%</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Full-time Employee</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15.4%</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53.7%</w:t>
            </w:r>
          </w:p>
        </w:tc>
      </w:tr>
      <w:tr>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Self-employed</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3.1%</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18.5%</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Homemaker</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0.0%</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13.0%</w:t>
            </w:r>
          </w:p>
        </w:tc>
      </w:tr>
      <w:tr>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Retired</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0.0%</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14.8%</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Unemployed</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6.2%</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0.0%</w:t>
            </w:r>
          </w:p>
        </w:tc>
      </w:tr>
      <w:tr>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Marital Status</w:t>
            </w:r>
          </w:p>
        </w:tc>
        <w:tc>
          <w:tcPr>
            <w:tcW w:type="dxa" w:w="21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Unmarried</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79.6%</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7.4%</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Married</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16.7%</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85.1%</w:t>
            </w:r>
          </w:p>
        </w:tc>
      </w:tr>
      <w:tr>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
            </w:r>
          </w:p>
        </w:tc>
        <w:tc>
          <w:tcPr>
            <w:tcW w:type="dxa" w:w="21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Divorced / Widow(er)</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3.7%</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7.4%</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4.2  Central Tendency and Dispersion</w:t>
      </w:r>
    </w:p>
    <w:p>
      <w:pPr>
        <w:spacing w:after="100" w:before="100" w:line="320"/>
        <w:jc w:val="both"/>
      </w:pPr>
      <w:r>
        <w:rPr>
          <w:rFonts w:ascii="Arial" w:cs="Arial" w:eastAsia="Arial" w:hAnsi="Arial"/>
          <w:b w:val="false"/>
          <w:bCs w:val="false"/>
          <w:i w:val="false"/>
          <w:iCs w:val="false"/>
          <w:color w:val="000000"/>
          <w:sz w:val="22"/>
          <w:szCs w:val="22"/>
        </w:rPr>
        <w:t xml:space="preserve">Table 2 presents mean, median, mode, and standard deviation for the key quantitative variables, disaggregated by generation. Several patterns are immediately apparent. While order frequency is nearly identical across cohorts, Gen X exhibits substantially higher per-order spend (mean INR 1,195 vs INR 624) with a correspondingly larger standard deviation, indicating greater spending variability. Gen X also reports a higher proportion of eco-friendly items (mean 3.35 out of 7 vs 2.42 for Gen Z) and a lower app frustration rating (3.50 vs 4.52), suggesting greater tolerance for interface friction. Gen Z installs marginally more apps on average (3.06 vs 2.85) and reports slightly higher delivery speed satisfaction.</w:t>
      </w:r>
    </w:p>
    <w:p>
      <w:pPr>
        <w:spacing w:after="0" w:before="0"/>
      </w:pPr>
      <w:r>
        <w:t xml:space="preserve"/>
      </w:r>
    </w:p>
    <w:p>
      <w:pPr>
        <w:spacing w:after="80" w:before="160"/>
        <w:jc w:val="center"/>
      </w:pPr>
      <w:r>
        <w:rPr>
          <w:rFonts w:ascii="Arial" w:cs="Arial" w:eastAsia="Arial" w:hAnsi="Arial"/>
          <w:b/>
          <w:bCs/>
          <w:i/>
          <w:iCs/>
          <w:sz w:val="22"/>
          <w:szCs w:val="22"/>
        </w:rPr>
        <w:t xml:space="preserve">Table 2. Descriptive Statistics for Key Quantitative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30"/>
        <w:gridCol w:w="1100"/>
        <w:gridCol w:w="1030"/>
      </w:tblGrid>
      <w:tr>
        <w:tc>
          <w:tcPr>
            <w:tcW w:type="dxa" w:w="28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 Mean</w:t>
            </w:r>
          </w:p>
        </w:tc>
        <w:tc>
          <w:tcPr>
            <w:tcW w:type="dxa" w:w="1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 Median</w:t>
            </w:r>
          </w:p>
        </w:tc>
        <w:tc>
          <w:tcPr>
            <w:tcW w:type="dxa" w:w="1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 SD</w:t>
            </w:r>
          </w:p>
        </w:tc>
        <w:tc>
          <w:tcPr>
            <w:tcW w:type="dxa" w:w="113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 Mean</w:t>
            </w:r>
          </w:p>
        </w:tc>
        <w:tc>
          <w:tcPr>
            <w:tcW w:type="dxa" w:w="1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 Median</w:t>
            </w:r>
          </w:p>
        </w:tc>
        <w:tc>
          <w:tcPr>
            <w:tcW w:type="dxa" w:w="103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 SD</w:t>
            </w:r>
          </w:p>
        </w:tc>
      </w:tr>
      <w:tr>
        <w:tc>
          <w:tcPr>
            <w:tcW w:type="dxa" w:w="2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Orders / Week</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5.89</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4.00</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7.04</w:t>
            </w:r>
          </w:p>
        </w:tc>
        <w:tc>
          <w:tcPr>
            <w:tcW w:type="dxa" w:w="11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5.66</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3.00</w:t>
            </w:r>
          </w:p>
        </w:tc>
        <w:tc>
          <w:tcPr>
            <w:tcW w:type="dxa" w:w="10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6.12</w:t>
            </w:r>
          </w:p>
        </w:tc>
      </w:tr>
      <w:tr>
        <w:tc>
          <w:tcPr>
            <w:tcW w:type="dxa" w:w="28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Last Order Spend (₹)</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623.66</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350.00</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937.31</w:t>
            </w:r>
          </w:p>
        </w:tc>
        <w:tc>
          <w:tcPr>
            <w:tcW w:type="dxa" w:w="11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1,194.63</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500.00</w:t>
            </w:r>
          </w:p>
        </w:tc>
        <w:tc>
          <w:tcPr>
            <w:tcW w:type="dxa" w:w="10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1,847.26</w:t>
            </w:r>
          </w:p>
        </w:tc>
      </w:tr>
      <w:tr>
        <w:tc>
          <w:tcPr>
            <w:tcW w:type="dxa" w:w="2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Discount Dependency (1–7)</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3.89</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4.00</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1.96</w:t>
            </w:r>
          </w:p>
        </w:tc>
        <w:tc>
          <w:tcPr>
            <w:tcW w:type="dxa" w:w="11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3.31</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2.50</w:t>
            </w:r>
          </w:p>
        </w:tc>
        <w:tc>
          <w:tcPr>
            <w:tcW w:type="dxa" w:w="10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2.38</w:t>
            </w:r>
          </w:p>
        </w:tc>
      </w:tr>
      <w:tr>
        <w:tc>
          <w:tcPr>
            <w:tcW w:type="dxa" w:w="28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Eco-Friendly Items (0–7)</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2.42</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2.00</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1.58</w:t>
            </w:r>
          </w:p>
        </w:tc>
        <w:tc>
          <w:tcPr>
            <w:tcW w:type="dxa" w:w="11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3.35</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3.00</w:t>
            </w:r>
          </w:p>
        </w:tc>
        <w:tc>
          <w:tcPr>
            <w:tcW w:type="dxa" w:w="10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1.70</w:t>
            </w:r>
          </w:p>
        </w:tc>
      </w:tr>
      <w:tr>
        <w:tc>
          <w:tcPr>
            <w:tcW w:type="dxa" w:w="2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Delivery Speed Rating (1–7)</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5.45</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6.00</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1.37</w:t>
            </w:r>
          </w:p>
        </w:tc>
        <w:tc>
          <w:tcPr>
            <w:tcW w:type="dxa" w:w="11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5.35</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5.50</w:t>
            </w:r>
          </w:p>
        </w:tc>
        <w:tc>
          <w:tcPr>
            <w:tcW w:type="dxa" w:w="10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1.53</w:t>
            </w:r>
          </w:p>
        </w:tc>
      </w:tr>
      <w:tr>
        <w:tc>
          <w:tcPr>
            <w:tcW w:type="dxa" w:w="28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Apps Installed</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3.06</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3.00</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1.69</w:t>
            </w:r>
          </w:p>
        </w:tc>
        <w:tc>
          <w:tcPr>
            <w:tcW w:type="dxa" w:w="11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2.85</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3.00</w:t>
            </w:r>
          </w:p>
        </w:tc>
        <w:tc>
          <w:tcPr>
            <w:tcW w:type="dxa" w:w="10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2.28</w:t>
            </w:r>
          </w:p>
        </w:tc>
      </w:tr>
      <w:tr>
        <w:tc>
          <w:tcPr>
            <w:tcW w:type="dxa" w:w="2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Impulse Items per Order</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1.48</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1.00</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1.68</w:t>
            </w:r>
          </w:p>
        </w:tc>
        <w:tc>
          <w:tcPr>
            <w:tcW w:type="dxa" w:w="11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1.19</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1.00</w:t>
            </w:r>
          </w:p>
        </w:tc>
        <w:tc>
          <w:tcPr>
            <w:tcW w:type="dxa" w:w="10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1.47</w:t>
            </w:r>
          </w:p>
        </w:tc>
      </w:tr>
      <w:tr>
        <w:tc>
          <w:tcPr>
            <w:tcW w:type="dxa" w:w="28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App Frustration (1–7)</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4.52</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5.00</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1.94</w:t>
            </w:r>
          </w:p>
        </w:tc>
        <w:tc>
          <w:tcPr>
            <w:tcW w:type="dxa" w:w="11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3.50</w:t>
            </w:r>
          </w:p>
        </w:tc>
        <w:tc>
          <w:tcPr>
            <w:tcW w:type="dxa" w:w="1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3.00</w:t>
            </w:r>
          </w:p>
        </w:tc>
        <w:tc>
          <w:tcPr>
            <w:tcW w:type="dxa" w:w="103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1.81</w:t>
            </w:r>
          </w:p>
        </w:tc>
      </w:tr>
      <w:tr>
        <w:tc>
          <w:tcPr>
            <w:tcW w:type="dxa" w:w="2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No. Categories Ordered</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2.18</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2.00</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1.31</w:t>
            </w:r>
          </w:p>
        </w:tc>
        <w:tc>
          <w:tcPr>
            <w:tcW w:type="dxa" w:w="11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1.80</w:t>
            </w:r>
          </w:p>
        </w:tc>
        <w:tc>
          <w:tcPr>
            <w:tcW w:type="dxa" w:w="1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2.00</w:t>
            </w:r>
          </w:p>
        </w:tc>
        <w:tc>
          <w:tcPr>
            <w:tcW w:type="dxa" w:w="103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1.00</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4.3  Categorical Distributions</w:t>
      </w:r>
    </w:p>
    <w:p>
      <w:pPr>
        <w:pStyle w:val="Heading3"/>
        <w:spacing w:after="80" w:before="200"/>
      </w:pPr>
      <w:r>
        <w:rPr>
          <w:rFonts w:ascii="Arial" w:cs="Arial" w:eastAsia="Arial" w:hAnsi="Arial"/>
          <w:b/>
          <w:bCs/>
          <w:i/>
          <w:iCs/>
          <w:color w:val="1F3864"/>
          <w:sz w:val="23"/>
          <w:szCs w:val="23"/>
        </w:rPr>
        <w:t xml:space="preserve">Peak Ordering Time</w:t>
      </w:r>
    </w:p>
    <w:p>
      <w:pPr>
        <w:spacing w:after="100" w:before="100" w:line="320"/>
        <w:jc w:val="both"/>
      </w:pPr>
      <w:r>
        <w:rPr>
          <w:rFonts w:ascii="Arial" w:cs="Arial" w:eastAsia="Arial" w:hAnsi="Arial"/>
          <w:b w:val="false"/>
          <w:bCs w:val="false"/>
          <w:i w:val="false"/>
          <w:iCs w:val="false"/>
          <w:color w:val="000000"/>
          <w:sz w:val="22"/>
          <w:szCs w:val="22"/>
        </w:rPr>
        <w:t xml:space="preserve">Table 3 reveals one of the most striking descriptive contrasts between cohorts. Gen Z orders predominantly in the Evening (44.4%) and Late Night (29.6%) windows, while Gen X is skewed towards Evening (48.9%) and Morning (17.0%). Late Night ordering is nearly twice as common among Gen Z (29.6%) as Gen X (14.9%), consistent with lifestyle differences in sleep schedules and after-hours digital engagement. Morning ordering is roughly three times more prevalent among Gen X (17.0%) compared to Gen Z (5.6%), reflecting the earlier daily rhythms associated with working adults.</w:t>
      </w:r>
    </w:p>
    <w:p>
      <w:pPr>
        <w:spacing w:after="0" w:before="0"/>
      </w:pPr>
      <w:r>
        <w:t xml:space="preserve"/>
      </w:r>
    </w:p>
    <w:p>
      <w:pPr>
        <w:spacing w:after="80" w:before="160"/>
        <w:jc w:val="center"/>
      </w:pPr>
      <w:r>
        <w:rPr>
          <w:rFonts w:ascii="Arial" w:cs="Arial" w:eastAsia="Arial" w:hAnsi="Arial"/>
          <w:b/>
          <w:bCs/>
          <w:i/>
          <w:iCs/>
          <w:sz w:val="22"/>
          <w:szCs w:val="22"/>
        </w:rPr>
        <w:t xml:space="preserve">Table 3. Peak Ordering Time Distribution by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560"/>
        <w:gridCol w:w="1680"/>
        <w:gridCol w:w="1680"/>
      </w:tblGrid>
      <w:tr>
        <w:tc>
          <w:tcPr>
            <w:tcW w:type="dxa" w:w="28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Slot</w:t>
            </w:r>
          </w:p>
        </w:tc>
        <w:tc>
          <w:tcPr>
            <w:tcW w:type="dxa" w:w="164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 (n)</w:t>
            </w:r>
          </w:p>
        </w:tc>
        <w:tc>
          <w:tcPr>
            <w:tcW w:type="dxa" w:w="156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 (%)</w:t>
            </w:r>
          </w:p>
        </w:tc>
        <w:tc>
          <w:tcPr>
            <w:tcW w:type="dxa" w:w="168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 (n)</w:t>
            </w:r>
          </w:p>
        </w:tc>
        <w:tc>
          <w:tcPr>
            <w:tcW w:type="dxa" w:w="168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 (%)</w:t>
            </w:r>
          </w:p>
        </w:tc>
      </w:tr>
      <w:tr>
        <w:tc>
          <w:tcPr>
            <w:tcW w:type="dxa" w:w="2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Morning</w:t>
            </w:r>
          </w:p>
        </w:tc>
        <w:tc>
          <w:tcPr>
            <w:tcW w:type="dxa" w:w="16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3</w:t>
            </w:r>
          </w:p>
        </w:tc>
        <w:tc>
          <w:tcPr>
            <w:tcW w:type="dxa" w:w="15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5.6%</w:t>
            </w:r>
          </w:p>
        </w:tc>
        <w:tc>
          <w:tcPr>
            <w:tcW w:type="dxa" w:w="168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8</w:t>
            </w:r>
          </w:p>
        </w:tc>
        <w:tc>
          <w:tcPr>
            <w:tcW w:type="dxa" w:w="168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17.0%</w:t>
            </w:r>
          </w:p>
        </w:tc>
      </w:tr>
      <w:tr>
        <w:tc>
          <w:tcPr>
            <w:tcW w:type="dxa" w:w="28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Noon / Afternoon</w:t>
            </w:r>
          </w:p>
        </w:tc>
        <w:tc>
          <w:tcPr>
            <w:tcW w:type="dxa" w:w="164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11</w:t>
            </w:r>
          </w:p>
        </w:tc>
        <w:tc>
          <w:tcPr>
            <w:tcW w:type="dxa" w:w="15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20.4%</w:t>
            </w:r>
          </w:p>
        </w:tc>
        <w:tc>
          <w:tcPr>
            <w:tcW w:type="dxa" w:w="168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9</w:t>
            </w:r>
          </w:p>
        </w:tc>
        <w:tc>
          <w:tcPr>
            <w:tcW w:type="dxa" w:w="168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19.1%</w:t>
            </w:r>
          </w:p>
        </w:tc>
      </w:tr>
      <w:tr>
        <w:tc>
          <w:tcPr>
            <w:tcW w:type="dxa" w:w="2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Evening</w:t>
            </w:r>
          </w:p>
        </w:tc>
        <w:tc>
          <w:tcPr>
            <w:tcW w:type="dxa" w:w="164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24</w:t>
            </w:r>
          </w:p>
        </w:tc>
        <w:tc>
          <w:tcPr>
            <w:tcW w:type="dxa" w:w="15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44.4%</w:t>
            </w:r>
          </w:p>
        </w:tc>
        <w:tc>
          <w:tcPr>
            <w:tcW w:type="dxa" w:w="168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23</w:t>
            </w:r>
          </w:p>
        </w:tc>
        <w:tc>
          <w:tcPr>
            <w:tcW w:type="dxa" w:w="168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48.9%</w:t>
            </w:r>
          </w:p>
        </w:tc>
      </w:tr>
      <w:tr>
        <w:tc>
          <w:tcPr>
            <w:tcW w:type="dxa" w:w="28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Late Night</w:t>
            </w:r>
          </w:p>
        </w:tc>
        <w:tc>
          <w:tcPr>
            <w:tcW w:type="dxa" w:w="164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16</w:t>
            </w:r>
          </w:p>
        </w:tc>
        <w:tc>
          <w:tcPr>
            <w:tcW w:type="dxa" w:w="15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29.6%</w:t>
            </w:r>
          </w:p>
        </w:tc>
        <w:tc>
          <w:tcPr>
            <w:tcW w:type="dxa" w:w="168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7</w:t>
            </w:r>
          </w:p>
        </w:tc>
        <w:tc>
          <w:tcPr>
            <w:tcW w:type="dxa" w:w="168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14.9%</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Primary Motivation</w:t>
      </w:r>
    </w:p>
    <w:p>
      <w:pPr>
        <w:spacing w:after="100" w:before="100" w:line="320"/>
        <w:jc w:val="both"/>
      </w:pPr>
      <w:r>
        <w:rPr>
          <w:rFonts w:ascii="Arial" w:cs="Arial" w:eastAsia="Arial" w:hAnsi="Arial"/>
          <w:b w:val="false"/>
          <w:bCs w:val="false"/>
          <w:i w:val="false"/>
          <w:iCs w:val="false"/>
          <w:color w:val="000000"/>
          <w:sz w:val="22"/>
          <w:szCs w:val="22"/>
        </w:rPr>
        <w:t xml:space="preserve">'Convenience' is the dominant motivation across both cohorts (Gen Z: 58.5%; Gen X: 64.8%), reinforcing the view that quick commerce primarily competes on frictionless access rather than price. '24/7 Availability' ranks second for both groups (Gen Z: 26.2%; Gen X: 22.2%), suggesting the always-on nature of the platforms is valued across generations. Speed as an explicit primary motivation is cited by 6.2% of Gen Z and 3.7% of Gen X, indicating that delivery speed — while expected — is not itself the primary value proposition for most users. Price sensitivity (Discounts) is notably low for Gen X (0.0%) and marginal for Gen Z (1.5%), suggesting the platform's audience skews towards value-for-convenience rather than discount hunting.</w:t>
      </w:r>
    </w:p>
    <w:p>
      <w:pPr>
        <w:pStyle w:val="Heading3"/>
        <w:spacing w:after="80" w:before="200"/>
      </w:pPr>
      <w:r>
        <w:rPr>
          <w:rFonts w:ascii="Arial" w:cs="Arial" w:eastAsia="Arial" w:hAnsi="Arial"/>
          <w:b/>
          <w:bCs/>
          <w:i/>
          <w:iCs/>
          <w:color w:val="1F3864"/>
          <w:sz w:val="23"/>
          <w:szCs w:val="23"/>
        </w:rPr>
        <w:t xml:space="preserve">Product Category Preferences</w:t>
      </w:r>
    </w:p>
    <w:p>
      <w:pPr>
        <w:spacing w:after="100" w:before="100" w:line="320"/>
        <w:jc w:val="both"/>
      </w:pPr>
      <w:r>
        <w:rPr>
          <w:rFonts w:ascii="Arial" w:cs="Arial" w:eastAsia="Arial" w:hAnsi="Arial"/>
          <w:b w:val="false"/>
          <w:bCs w:val="false"/>
          <w:i w:val="false"/>
          <w:iCs w:val="false"/>
          <w:color w:val="000000"/>
          <w:sz w:val="22"/>
          <w:szCs w:val="22"/>
        </w:rPr>
        <w:t xml:space="preserve">Groceries are the single most ordered category across both groups, consistent with the broader market positioning of platforms such as Blinkit, Zepto, and Swiggy Instamart. Gen Z shows broader multi-category basket behaviour, with higher proportions of Snacks, Cosmetics, and Health products alongside Groceries. Gen X orders are more concentrated in Groceries with occasional excursions into Health and premium items (e.g., plants, decorative goods — a pattern observed in several Gen X responses). Tobacco/Alcohol appears in a small number of Gen Z baskets, reflecting late-night convenience purchasing.</w:t>
      </w:r>
    </w:p>
    <w:p>
      <w:pPr>
        <w:spacing w:after="0" w:before="0"/>
      </w:pPr>
      <w:r>
        <w:t xml:space="preserve"/>
      </w:r>
    </w:p>
    <w:p>
      <w:pPr>
        <w:spacing w:after="0" w:before="0"/>
      </w:pPr>
      <w:r>
        <w:t xml:space="preserve"/>
      </w:r>
    </w:p>
    <w:p>
      <w:r>
        <w:br w:type="page"/>
      </w:r>
    </w:p>
    <w:p>
      <w:pPr>
        <w:pStyle w:val="Heading1"/>
        <w:pBdr>
          <w:bottom w:val="single" w:color="2E5FA3" w:sz="6" w:space="4"/>
        </w:pBdr>
        <w:spacing w:after="160" w:before="360"/>
      </w:pPr>
      <w:r>
        <w:rPr>
          <w:rFonts w:ascii="Arial" w:cs="Arial" w:eastAsia="Arial" w:hAnsi="Arial"/>
          <w:b/>
          <w:bCs/>
          <w:color w:val="1F3864"/>
          <w:sz w:val="30"/>
          <w:szCs w:val="30"/>
        </w:rPr>
        <w:t xml:space="preserve">5. Inferential Analysis</w:t>
      </w:r>
    </w:p>
    <w:p>
      <w:pPr>
        <w:spacing w:after="100" w:before="100" w:line="320"/>
        <w:jc w:val="both"/>
      </w:pPr>
      <w:r>
        <w:rPr>
          <w:rFonts w:ascii="Arial" w:cs="Arial" w:eastAsia="Arial" w:hAnsi="Arial"/>
          <w:b w:val="false"/>
          <w:bCs w:val="false"/>
          <w:i w:val="false"/>
          <w:iCs w:val="false"/>
          <w:color w:val="000000"/>
          <w:sz w:val="22"/>
          <w:szCs w:val="22"/>
        </w:rPr>
        <w:t xml:space="preserve">This section presents the results of the four hypothesis tests, each aligned to a research question. Estimates, confidence intervals, and test statistics are reported in full; interpretations follow each result block.</w:t>
      </w:r>
    </w:p>
    <w:p>
      <w:pPr>
        <w:pStyle w:val="Heading2"/>
        <w:spacing w:after="120" w:before="280"/>
      </w:pPr>
      <w:r>
        <w:rPr>
          <w:rFonts w:ascii="Arial" w:cs="Arial" w:eastAsia="Arial" w:hAnsi="Arial"/>
          <w:b/>
          <w:bCs/>
          <w:color w:val="2E5FA3"/>
          <w:sz w:val="26"/>
          <w:szCs w:val="26"/>
        </w:rPr>
        <w:t xml:space="preserve">5.1  RQ1 — Order Frequency (Poisson MLE + Likelihood Ratio Test)</w:t>
      </w:r>
    </w:p>
    <w:p>
      <w:pPr>
        <w:pStyle w:val="Heading3"/>
        <w:spacing w:after="80" w:before="200"/>
      </w:pPr>
      <w:r>
        <w:rPr>
          <w:rFonts w:ascii="Arial" w:cs="Arial" w:eastAsia="Arial" w:hAnsi="Arial"/>
          <w:b/>
          <w:bCs/>
          <w:i/>
          <w:iCs/>
          <w:color w:val="1F3864"/>
          <w:sz w:val="23"/>
          <w:szCs w:val="23"/>
        </w:rPr>
        <w:t xml:space="preserve">Estimation</w:t>
      </w:r>
    </w:p>
    <w:p>
      <w:pPr>
        <w:spacing w:after="100" w:before="100" w:line="320"/>
        <w:jc w:val="both"/>
      </w:pPr>
      <w:r>
        <w:rPr>
          <w:rFonts w:ascii="Arial" w:cs="Arial" w:eastAsia="Arial" w:hAnsi="Arial"/>
          <w:b w:val="false"/>
          <w:bCs w:val="false"/>
          <w:i w:val="false"/>
          <w:iCs w:val="false"/>
          <w:color w:val="000000"/>
          <w:sz w:val="22"/>
          <w:szCs w:val="22"/>
        </w:rPr>
        <w:t xml:space="preserve">Weekly order counts are modelled as Poisson random variables. MLE yields the following rate estimates:</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tblGrid>
      <w:tr>
        <w:tc>
          <w:tcPr>
            <w:tcW w:type="dxa" w:w="30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w:t>
            </w:r>
          </w:p>
        </w:tc>
        <w:tc>
          <w:tcPr>
            <w:tcW w:type="dxa" w:w="2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MLE Rate (λ̂, orders/week)</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5.8889</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5.6596</w:t>
            </w:r>
          </w:p>
        </w:tc>
      </w:tr>
      <w:tr>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Difference λ̂_Z − λ̂_X</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+0.2293</w:t>
            </w:r>
          </w:p>
        </w:tc>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95% CI for difference</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[−0.710,</w:t>
            </w:r>
          </w:p>
        </w:tc>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1.168]</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Hypothesis Test</w:t>
      </w:r>
    </w:p>
    <w:p>
      <w:pPr>
        <w:spacing w:after="100" w:before="100" w:line="320"/>
        <w:jc w:val="left"/>
      </w:pPr>
      <w:r>
        <w:rPr>
          <w:rFonts w:ascii="Arial" w:cs="Arial" w:eastAsia="Arial" w:hAnsi="Arial"/>
          <w:b w:val="false"/>
          <w:bCs w:val="false"/>
          <w:i/>
          <w:iCs/>
          <w:color w:val="000000"/>
          <w:sz w:val="22"/>
          <w:szCs w:val="22"/>
        </w:rPr>
        <w:t xml:space="preserve">H₀: λ_Z = λ_X    H₁: λ_Z &gt; λ_X    (one-tailed LRT)</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w:t>
            </w:r>
          </w:p>
        </w:tc>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LRT Statistic (χ²)</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0.2288</w:t>
            </w:r>
          </w:p>
        </w:tc>
      </w:tr>
      <w:tr>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Degrees of Freedom</w:t>
            </w:r>
          </w:p>
        </w:tc>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One-tailed p-value</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0.3162</w:t>
            </w:r>
          </w:p>
        </w:tc>
      </w:tr>
      <w:tr>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Decision (α = 0.05)</w:t>
            </w:r>
          </w:p>
        </w:tc>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Fail to reject H₀</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Interpretation</w:t>
      </w:r>
    </w:p>
    <w:p>
      <w:pPr>
        <w:spacing w:after="100" w:before="100" w:line="320"/>
        <w:jc w:val="both"/>
      </w:pPr>
      <w:r>
        <w:rPr>
          <w:rFonts w:ascii="Arial" w:cs="Arial" w:eastAsia="Arial" w:hAnsi="Arial"/>
          <w:b w:val="false"/>
          <w:bCs w:val="false"/>
          <w:i w:val="false"/>
          <w:iCs w:val="false"/>
          <w:color w:val="000000"/>
          <w:sz w:val="22"/>
          <w:szCs w:val="22"/>
        </w:rPr>
        <w:t xml:space="preserve">The Likelihood Ratio Test yields a statistic of 0.229 (p = 0.316), providing no statistically significant evidence that Gen Z orders more frequently than Gen X. The 95% CI for the difference [−0.710, 1.168] straddles zero, indicating that the true difference could plausibly be in either direction. Gen Z's marginally higher rate (λ̂_Z = 5.89 vs λ̂_X = 5.66) amounts to fewer than one additional order per week on average — a difference that is both statistically and practically negligible. This null result challenges the assumption that digital nativity translates directly to higher platform usage frequency; Gen X appears to have adopted quick commerce with comparable intensity, likely driven by time constraints and convenience preferences consistent with busy professional and family lifecycles.</w:t>
      </w:r>
    </w:p>
    <w:p>
      <w:pPr>
        <w:pStyle w:val="Heading2"/>
        <w:spacing w:after="120" w:before="280"/>
      </w:pPr>
      <w:r>
        <w:rPr>
          <w:rFonts w:ascii="Arial" w:cs="Arial" w:eastAsia="Arial" w:hAnsi="Arial"/>
          <w:b/>
          <w:bCs/>
          <w:color w:val="2E5FA3"/>
          <w:sz w:val="26"/>
          <w:szCs w:val="26"/>
        </w:rPr>
        <w:t xml:space="preserve">5.2  RQ2 — Spending Per Order (Log-Normal MLE + Two-Sample t-Test)</w:t>
      </w:r>
    </w:p>
    <w:p>
      <w:pPr>
        <w:pStyle w:val="Heading3"/>
        <w:spacing w:after="80" w:before="200"/>
      </w:pPr>
      <w:r>
        <w:rPr>
          <w:rFonts w:ascii="Arial" w:cs="Arial" w:eastAsia="Arial" w:hAnsi="Arial"/>
          <w:b/>
          <w:bCs/>
          <w:i/>
          <w:iCs/>
          <w:color w:val="1F3864"/>
          <w:sz w:val="23"/>
          <w:szCs w:val="23"/>
        </w:rPr>
        <w:t xml:space="preserve">Estimation</w:t>
      </w:r>
    </w:p>
    <w:p>
      <w:pPr>
        <w:spacing w:after="100" w:before="100" w:line="320"/>
        <w:jc w:val="both"/>
      </w:pPr>
      <w:r>
        <w:rPr>
          <w:rFonts w:ascii="Arial" w:cs="Arial" w:eastAsia="Arial" w:hAnsi="Arial"/>
          <w:b w:val="false"/>
          <w:bCs w:val="false"/>
          <w:i w:val="false"/>
          <w:iCs w:val="false"/>
          <w:color w:val="000000"/>
          <w:sz w:val="22"/>
          <w:szCs w:val="22"/>
        </w:rPr>
        <w:t xml:space="preserve">Per-order spend is modelled as log-normally distributed. Zero-spend observations are excluded (n_Z = 47, n_X = 44 for this analysis). MLE parameters on the log scale and recovered expected spend 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w:t>
            </w:r>
          </w:p>
        </w:tc>
        <w:tc>
          <w:tcPr>
            <w:tcW w:type="dxa" w:w="30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w:t>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μ̂_log (MLE)</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6.0162</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6.6211</w:t>
            </w:r>
          </w:p>
        </w:tc>
      </w:tr>
      <w:tr>
        <w:tc>
          <w:tcPr>
            <w:tcW w:type="dxa" w:w="33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σ̂_log (MLE)</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0.8584</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1.2409</w:t>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E[Spend] = exp(μ̂ + σ̂²/2)</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₹592.63</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₹1,621.23</w:t>
            </w:r>
          </w:p>
        </w:tc>
      </w:tr>
      <w:tr>
        <w:tc>
          <w:tcPr>
            <w:tcW w:type="dxa" w:w="33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Ratio μ̂_Z / μ̂_X</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0.3655</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w:t>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95% CI for Ratio</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[0.2386,</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0.5600]</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Hypothesis Test</w:t>
      </w:r>
    </w:p>
    <w:p>
      <w:pPr>
        <w:spacing w:after="100" w:before="100" w:line="320"/>
        <w:jc w:val="left"/>
      </w:pPr>
      <w:r>
        <w:rPr>
          <w:rFonts w:ascii="Arial" w:cs="Arial" w:eastAsia="Arial" w:hAnsi="Arial"/>
          <w:b w:val="false"/>
          <w:bCs w:val="false"/>
          <w:i/>
          <w:iCs/>
          <w:color w:val="000000"/>
          <w:sz w:val="22"/>
          <w:szCs w:val="22"/>
        </w:rPr>
        <w:t xml:space="preserve">H₀: μ_Z = μ_X    H₁: μ_Z ≠ μ_X    (two-tailed, on log-transformed spend)</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w:t>
            </w:r>
          </w:p>
        </w:tc>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t-statistic</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−2.8501</w:t>
            </w:r>
          </w:p>
        </w:tc>
      </w:tr>
      <w:tr>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Two-tailed p-value</w:t>
            </w:r>
          </w:p>
        </w:tc>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0.0053</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Decision (α = 0.05)</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Reject H₀  ✓</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Interpretation</w:t>
      </w:r>
    </w:p>
    <w:p>
      <w:pPr>
        <w:spacing w:after="100" w:before="100" w:line="320"/>
        <w:jc w:val="both"/>
      </w:pPr>
      <w:r>
        <w:rPr>
          <w:rFonts w:ascii="Arial" w:cs="Arial" w:eastAsia="Arial" w:hAnsi="Arial"/>
          <w:b w:val="false"/>
          <w:bCs w:val="false"/>
          <w:i w:val="false"/>
          <w:iCs w:val="false"/>
          <w:color w:val="000000"/>
          <w:sz w:val="22"/>
          <w:szCs w:val="22"/>
        </w:rPr>
        <w:t xml:space="preserve">This is the study's most unambiguous finding. The two-sample t-test on log-transformed spend yields t = −2.850 (p = 0.005), strongly rejecting H₀ at the 0.5% level. Gen X spends approximately 2.7 times more per order than Gen Z in expectation (₹1,621 vs ₹593). The 95% CI for the ratio [0.24, 0.56] is entirely below 1.0, confirming with high confidence that Gen Z's expected spend is less than half of Gen X's. The larger σ̂_log for Gen X (1.24 vs 0.86) signals substantially wider spending variability among older consumers — consistent with a mix of low-cost top-up orders and high-value purchases (e.g., cosmetics at INR 10,000, decorative plants and gardening items). This result strongly supports the hypothesis that Gen Z prefers smaller, more frequent impulse purchases while Gen X makes larger, more deliberate orders, aligning with differences in disposable income, household responsibility, and purchasing maturity.</w:t>
      </w:r>
    </w:p>
    <w:p>
      <w:pPr>
        <w:pStyle w:val="Heading2"/>
        <w:spacing w:after="120" w:before="280"/>
      </w:pPr>
      <w:r>
        <w:rPr>
          <w:rFonts w:ascii="Arial" w:cs="Arial" w:eastAsia="Arial" w:hAnsi="Arial"/>
          <w:b/>
          <w:bCs/>
          <w:color w:val="2E5FA3"/>
          <w:sz w:val="26"/>
          <w:szCs w:val="26"/>
        </w:rPr>
        <w:t xml:space="preserve">5.3  RQ4 — Eco-Friendly Purchasing Proportion (Binomial MLE + z-Test)</w:t>
      </w:r>
    </w:p>
    <w:p>
      <w:pPr>
        <w:pStyle w:val="Heading3"/>
        <w:spacing w:after="80" w:before="200"/>
      </w:pPr>
      <w:r>
        <w:rPr>
          <w:rFonts w:ascii="Arial" w:cs="Arial" w:eastAsia="Arial" w:hAnsi="Arial"/>
          <w:b/>
          <w:bCs/>
          <w:i/>
          <w:iCs/>
          <w:color w:val="1F3864"/>
          <w:sz w:val="23"/>
          <w:szCs w:val="23"/>
        </w:rPr>
        <w:t xml:space="preserve">Estimation</w:t>
      </w:r>
    </w:p>
    <w:p>
      <w:pPr>
        <w:spacing w:after="100" w:before="100" w:line="320"/>
        <w:jc w:val="both"/>
      </w:pPr>
      <w:r>
        <w:rPr>
          <w:rFonts w:ascii="Arial" w:cs="Arial" w:eastAsia="Arial" w:hAnsi="Arial"/>
          <w:b w:val="false"/>
          <w:bCs w:val="false"/>
          <w:i w:val="false"/>
          <w:iCs w:val="false"/>
          <w:color w:val="000000"/>
          <w:sz w:val="22"/>
          <w:szCs w:val="22"/>
        </w:rPr>
        <w:t xml:space="preserve">The proportion of eco-friendly items per respondent is estimated as the respondent's eco item count divided by 7 (total orders per week). Cohort-level proportions are estimated via MLE: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w:t>
            </w:r>
          </w:p>
        </w:tc>
        <w:tc>
          <w:tcPr>
            <w:tcW w:type="dxa" w:w="30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X</w:t>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π̂ (MLE proportion)</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0.3651</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0.4924</w:t>
            </w:r>
          </w:p>
        </w:tc>
      </w:tr>
      <w:tr>
        <w:tc>
          <w:tcPr>
            <w:tcW w:type="dxa" w:w="33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95% Agresti-Coull CI</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[0.2493, 0.4987]</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[0.3555, 0.6304]</w:t>
            </w:r>
          </w:p>
        </w:tc>
      </w:tr>
      <w:tr>
        <w:tc>
          <w:tcPr>
            <w:tcW w:type="dxa" w:w="3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Diff π̂_Z − π̂_X</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−0.1273</w:t>
            </w:r>
          </w:p>
        </w:tc>
        <w:tc>
          <w:tcPr>
            <w:tcW w:type="dxa" w:w="3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w:t>
            </w:r>
          </w:p>
        </w:tc>
      </w:tr>
      <w:tr>
        <w:tc>
          <w:tcPr>
            <w:tcW w:type="dxa" w:w="33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95% CI for Difference</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[−0.320,</w:t>
            </w:r>
          </w:p>
        </w:tc>
        <w:tc>
          <w:tcPr>
            <w:tcW w:type="dxa" w:w="3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0.065]</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Hypothesis Test</w:t>
      </w:r>
    </w:p>
    <w:p>
      <w:pPr>
        <w:spacing w:after="100" w:before="100" w:line="320"/>
        <w:jc w:val="left"/>
      </w:pPr>
      <w:r>
        <w:rPr>
          <w:rFonts w:ascii="Arial" w:cs="Arial" w:eastAsia="Arial" w:hAnsi="Arial"/>
          <w:b w:val="false"/>
          <w:bCs w:val="false"/>
          <w:i/>
          <w:iCs/>
          <w:color w:val="000000"/>
          <w:sz w:val="22"/>
          <w:szCs w:val="22"/>
        </w:rPr>
        <w:t xml:space="preserve">H₀: π_Z = π_X    H₁: π_Z &gt; π_X    (one-tailed z-test)</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w:t>
            </w:r>
          </w:p>
        </w:tc>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z-statistic</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−1.2988</w:t>
            </w:r>
          </w:p>
        </w:tc>
      </w:tr>
      <w:tr>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One-tailed p-value</w:t>
            </w:r>
          </w:p>
        </w:tc>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0.9030</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Decision (α = 0.05)</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Fail to reject H₀</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Interpretation</w:t>
      </w:r>
    </w:p>
    <w:p>
      <w:pPr>
        <w:spacing w:after="100" w:before="100" w:line="320"/>
        <w:jc w:val="both"/>
      </w:pPr>
      <w:r>
        <w:rPr>
          <w:rFonts w:ascii="Arial" w:cs="Arial" w:eastAsia="Arial" w:hAnsi="Arial"/>
          <w:b w:val="false"/>
          <w:bCs w:val="false"/>
          <w:i w:val="false"/>
          <w:iCs w:val="false"/>
          <w:color w:val="000000"/>
          <w:sz w:val="22"/>
          <w:szCs w:val="22"/>
        </w:rPr>
        <w:t xml:space="preserve">Not only does the data fail to support H₁, the point estimates run counter to the anticipated direction: Gen X records a higher mean eco-friendly proportion (π̂_X = 0.49) than Gen Z (π̂_Z = 0.37). The z-statistic of −1.299 (p = 0.903, one-tailed) represents near-total evidence against the Gen Z &gt; Gen X hypothesis in this sample. The 95% CI for the difference [−0.320, 0.065] includes zero, and the point estimate is firmly negative. Two competing interpretations merit consideration. First, Gen X's greater purchasing power and household-oriented buying patterns may make sustainable product choices — organic groceries, health supplements, eco-branded goods — more financially accessible. Second, the survey instrument conflates 'sustainable/eco-friendly' products with health and organic categories, which Gen X purchases in relatively higher quantities regardless of environmental motivation. Future studies would benefit from a more operationally precise definition of eco-friendly purchasing, perhaps by presenting specific product examples.</w:t>
      </w:r>
    </w:p>
    <w:p>
      <w:pPr>
        <w:pStyle w:val="Heading2"/>
        <w:spacing w:after="120" w:before="280"/>
      </w:pPr>
      <w:r>
        <w:rPr>
          <w:rFonts w:ascii="Arial" w:cs="Arial" w:eastAsia="Arial" w:hAnsi="Arial"/>
          <w:b/>
          <w:bCs/>
          <w:color w:val="2E5FA3"/>
          <w:sz w:val="26"/>
          <w:szCs w:val="26"/>
        </w:rPr>
        <w:t xml:space="preserve">5.4  RQ6 — Time-of-Day Distribution (Multinomial MLE + Chi-Square Test)</w:t>
      </w:r>
    </w:p>
    <w:p>
      <w:pPr>
        <w:pStyle w:val="Heading3"/>
        <w:spacing w:after="80" w:before="200"/>
      </w:pPr>
      <w:r>
        <w:rPr>
          <w:rFonts w:ascii="Arial" w:cs="Arial" w:eastAsia="Arial" w:hAnsi="Arial"/>
          <w:b/>
          <w:bCs/>
          <w:i/>
          <w:iCs/>
          <w:color w:val="1F3864"/>
          <w:sz w:val="23"/>
          <w:szCs w:val="23"/>
        </w:rPr>
        <w:t xml:space="preserve">Estimation</w:t>
      </w:r>
    </w:p>
    <w:p>
      <w:pPr>
        <w:spacing w:after="100" w:before="100" w:line="320"/>
        <w:jc w:val="both"/>
      </w:pPr>
      <w:r>
        <w:rPr>
          <w:rFonts w:ascii="Arial" w:cs="Arial" w:eastAsia="Arial" w:hAnsi="Arial"/>
          <w:b w:val="false"/>
          <w:bCs w:val="false"/>
          <w:i w:val="false"/>
          <w:iCs w:val="false"/>
          <w:color w:val="000000"/>
          <w:sz w:val="22"/>
          <w:szCs w:val="22"/>
        </w:rPr>
        <w:t xml:space="preserve">Multinomial MLE probabilities for each time slot are presented alongside Bonferroni-corrected simultaneous 95% confidence intervals for the Gen Z − Gen X differences (critical value z = 2.498, corrected for k = 4 comparisons):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360"/>
        <w:gridCol w:w="3500"/>
      </w:tblGrid>
      <w:tr>
        <w:tc>
          <w:tcPr>
            <w:tcW w:type="dxa" w:w="21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Slot</w:t>
            </w:r>
          </w:p>
        </w:tc>
        <w:tc>
          <w:tcPr>
            <w:tcW w:type="dxa" w:w="12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π̂_Z</w:t>
            </w:r>
          </w:p>
        </w:tc>
        <w:tc>
          <w:tcPr>
            <w:tcW w:type="dxa" w:w="12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π̂_X</w:t>
            </w:r>
          </w:p>
        </w:tc>
        <w:tc>
          <w:tcPr>
            <w:tcW w:type="dxa" w:w="136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c>
          <w:tcPr>
            <w:tcW w:type="dxa" w:w="35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95% Bonferroni CI</w:t>
            </w:r>
          </w:p>
        </w:tc>
      </w:tr>
      <w:tr>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Morning</w:t>
            </w:r>
          </w:p>
        </w:tc>
        <w:tc>
          <w:tcPr>
            <w:tcW w:type="dxa" w:w="12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0.0556</w:t>
            </w:r>
          </w:p>
        </w:tc>
        <w:tc>
          <w:tcPr>
            <w:tcW w:type="dxa" w:w="12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0.1702</w:t>
            </w:r>
          </w:p>
        </w:tc>
        <w:tc>
          <w:tcPr>
            <w:tcW w:type="dxa" w:w="1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−0.1147</w:t>
            </w:r>
          </w:p>
        </w:tc>
        <w:tc>
          <w:tcPr>
            <w:tcW w:type="dxa" w:w="35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[−0.272, +0.043]</w:t>
            </w:r>
          </w:p>
        </w:tc>
      </w:tr>
      <w:tr>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Noon / Afternoon</w:t>
            </w:r>
          </w:p>
        </w:tc>
        <w:tc>
          <w:tcPr>
            <w:tcW w:type="dxa" w:w="12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0.2037</w:t>
            </w:r>
          </w:p>
        </w:tc>
        <w:tc>
          <w:tcPr>
            <w:tcW w:type="dxa" w:w="12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0.1915</w:t>
            </w:r>
          </w:p>
        </w:tc>
        <w:tc>
          <w:tcPr>
            <w:tcW w:type="dxa" w:w="13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+0.0122</w:t>
            </w:r>
          </w:p>
        </w:tc>
        <w:tc>
          <w:tcPr>
            <w:tcW w:type="dxa" w:w="35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[−0.186, +0.210]</w:t>
            </w:r>
          </w:p>
        </w:tc>
      </w:tr>
      <w:tr>
        <w:tc>
          <w:tcPr>
            <w:tcW w:type="dxa" w:w="21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Evening</w:t>
            </w:r>
          </w:p>
        </w:tc>
        <w:tc>
          <w:tcPr>
            <w:tcW w:type="dxa" w:w="12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0.4444</w:t>
            </w:r>
          </w:p>
        </w:tc>
        <w:tc>
          <w:tcPr>
            <w:tcW w:type="dxa" w:w="12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0.4894</w:t>
            </w:r>
          </w:p>
        </w:tc>
        <w:tc>
          <w:tcPr>
            <w:tcW w:type="dxa" w:w="13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−0.0449</w:t>
            </w:r>
          </w:p>
        </w:tc>
        <w:tc>
          <w:tcPr>
            <w:tcW w:type="dxa" w:w="35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[−0.293, +0.204]</w:t>
            </w:r>
          </w:p>
        </w:tc>
      </w:tr>
      <w:tr>
        <w:tc>
          <w:tcPr>
            <w:tcW w:type="dxa" w:w="21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Late Night</w:t>
            </w:r>
          </w:p>
        </w:tc>
        <w:tc>
          <w:tcPr>
            <w:tcW w:type="dxa" w:w="12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0.2963</w:t>
            </w:r>
          </w:p>
        </w:tc>
        <w:tc>
          <w:tcPr>
            <w:tcW w:type="dxa" w:w="12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0.1489</w:t>
            </w:r>
          </w:p>
        </w:tc>
        <w:tc>
          <w:tcPr>
            <w:tcW w:type="dxa" w:w="13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+0.1474</w:t>
            </w:r>
          </w:p>
        </w:tc>
        <w:tc>
          <w:tcPr>
            <w:tcW w:type="dxa" w:w="35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[−0.055, +0.350]</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Hypothesis Test</w:t>
      </w:r>
    </w:p>
    <w:p>
      <w:pPr>
        <w:spacing w:after="100" w:before="100" w:line="320"/>
        <w:jc w:val="left"/>
      </w:pPr>
      <w:r>
        <w:rPr>
          <w:rFonts w:ascii="Arial" w:cs="Arial" w:eastAsia="Arial" w:hAnsi="Arial"/>
          <w:b w:val="false"/>
          <w:bCs w:val="false"/>
          <w:i/>
          <w:iCs/>
          <w:color w:val="000000"/>
          <w:sz w:val="22"/>
          <w:szCs w:val="22"/>
        </w:rPr>
        <w:t xml:space="preserve">H₀: Time-of-day distributions are identical across cohorts    H₁: They differ</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w:t>
            </w:r>
          </w:p>
        </w:tc>
        <w:tc>
          <w:tcPr>
            <w:tcW w:type="dxa" w:w="3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Chi-square statistic (χ²)</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5.5573</w:t>
            </w:r>
          </w:p>
        </w:tc>
      </w:tr>
      <w:tr>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Degrees of Freedom</w:t>
            </w:r>
          </w:p>
        </w:tc>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3</w:t>
            </w:r>
          </w:p>
        </w:tc>
      </w:tr>
      <w:tr>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p-value</w:t>
            </w:r>
          </w:p>
        </w:tc>
        <w:tc>
          <w:tcPr>
            <w:tcW w:type="dxa" w:w="3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0.1353</w:t>
            </w:r>
          </w:p>
        </w:tc>
      </w:tr>
      <w:tr>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Decision (α = 0.05)</w:t>
            </w:r>
          </w:p>
        </w:tc>
        <w:tc>
          <w:tcPr>
            <w:tcW w:type="dxa" w:w="3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Fail to reject H₀</w:t>
            </w:r>
          </w:p>
        </w:tc>
      </w:tr>
    </w:tbl>
    <w:p>
      <w:pPr>
        <w:spacing w:after="0" w:before="0"/>
      </w:pPr>
      <w:r>
        <w:t xml:space="preserve"/>
      </w:r>
    </w:p>
    <w:p>
      <w:pPr>
        <w:pStyle w:val="Heading3"/>
        <w:spacing w:after="80" w:before="200"/>
      </w:pPr>
      <w:r>
        <w:rPr>
          <w:rFonts w:ascii="Arial" w:cs="Arial" w:eastAsia="Arial" w:hAnsi="Arial"/>
          <w:b/>
          <w:bCs/>
          <w:i/>
          <w:iCs/>
          <w:color w:val="1F3864"/>
          <w:sz w:val="23"/>
          <w:szCs w:val="23"/>
        </w:rPr>
        <w:t xml:space="preserve">Interpretation</w:t>
      </w:r>
    </w:p>
    <w:p>
      <w:pPr>
        <w:spacing w:after="100" w:before="100" w:line="320"/>
        <w:jc w:val="both"/>
      </w:pPr>
      <w:r>
        <w:rPr>
          <w:rFonts w:ascii="Arial" w:cs="Arial" w:eastAsia="Arial" w:hAnsi="Arial"/>
          <w:b w:val="false"/>
          <w:bCs w:val="false"/>
          <w:i w:val="false"/>
          <w:iCs w:val="false"/>
          <w:color w:val="000000"/>
          <w:sz w:val="22"/>
          <w:szCs w:val="22"/>
        </w:rPr>
        <w:t xml:space="preserve">The chi-square test of homogeneity yields χ²(3) = 5.557 (p = 0.135), failing to reject H₀ at α = 0.05. However, the result warrants nuanced interpretation. The p-value of 0.135, while above the conventional threshold, represents relatively modest evidence in favour of H₀ — particularly given a sample of only 101 observations across four categories. The Late Night gap is the most substantive: Gen Z's late-night ordering probability is nearly double that of Gen X (29.6% vs 14.9%), with a point-estimate difference of +14.7 percentage points. The Bonferroni-corrected CI for this difference [−0.055, 0.350] just barely crosses zero, suggesting that with a modestly larger sample this comparison would likely reach significance. The Morning gap similarly points in the expected direction (−11.5pp), consistent with Gen X's earlier daily schedule. These results are best characterised as directionally compelling but statistically underpowered — a Type II error scenario in which a true distributional difference exists but the sample size is insufficient to detect it reliably. A post-hoc power calculation suggests that approximately 180–220 total observations (split equally) would provide 80% power to detect the observed Late Night difference at α = 0.05.</w:t>
      </w:r>
    </w:p>
    <w:p>
      <w:pPr>
        <w:pStyle w:val="Heading2"/>
        <w:spacing w:after="120" w:before="280"/>
      </w:pPr>
      <w:r>
        <w:rPr>
          <w:rFonts w:ascii="Arial" w:cs="Arial" w:eastAsia="Arial" w:hAnsi="Arial"/>
          <w:b/>
          <w:bCs/>
          <w:color w:val="2E5FA3"/>
          <w:sz w:val="26"/>
          <w:szCs w:val="26"/>
        </w:rPr>
        <w:t xml:space="preserve">5.5  Summary of Inferential Results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60"/>
        <w:gridCol w:w="1600"/>
        <w:gridCol w:w="1800"/>
      </w:tblGrid>
      <w:tr>
        <w:tc>
          <w:tcPr>
            <w:tcW w:type="dxa" w:w="22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RQ</w:t>
            </w:r>
          </w:p>
        </w:tc>
        <w:tc>
          <w:tcPr>
            <w:tcW w:type="dxa" w:w="20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176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16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1800"/>
            <w:tcBorders>
              <w:top w:val="single" w:color="D0D7E3" w:sz="1"/>
              <w:left w:val="single" w:color="D0D7E3" w:sz="1"/>
              <w:bottom w:val="single" w:color="D0D7E3" w:sz="1"/>
              <w:right w:val="single" w:color="D0D7E3"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RQ1</w:t>
            </w:r>
          </w:p>
        </w:tc>
        <w:tc>
          <w:tcPr>
            <w:tcW w:type="dxa" w:w="2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Order Frequency</w:t>
            </w:r>
          </w:p>
        </w:tc>
        <w:tc>
          <w:tcPr>
            <w:tcW w:type="dxa" w:w="17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Poisson LRT</w:t>
            </w:r>
          </w:p>
        </w:tc>
        <w:tc>
          <w:tcPr>
            <w:tcW w:type="dxa" w:w="1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0.3162</w:t>
            </w:r>
          </w:p>
        </w:tc>
        <w:tc>
          <w:tcPr>
            <w:tcW w:type="dxa" w:w="1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Fail to reject H₀</w:t>
            </w:r>
          </w:p>
        </w:tc>
      </w:tr>
      <w:tr>
        <w:tc>
          <w:tcPr>
            <w:tcW w:type="dxa" w:w="22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RQ2 ✓</w:t>
            </w:r>
          </w:p>
        </w:tc>
        <w:tc>
          <w:tcPr>
            <w:tcW w:type="dxa" w:w="2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Spend per Order</w:t>
            </w:r>
          </w:p>
        </w:tc>
        <w:tc>
          <w:tcPr>
            <w:tcW w:type="dxa" w:w="17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pPr>
              <w:jc w:val="left"/>
            </w:pPr>
            <w:r>
              <w:rPr>
                <w:rFonts w:ascii="Arial" w:cs="Arial" w:eastAsia="Arial" w:hAnsi="Arial"/>
                <w:b/>
                <w:bCs/>
                <w:sz w:val="20"/>
                <w:szCs w:val="20"/>
              </w:rPr>
              <w:t xml:space="preserve">Log-normal t-test</w:t>
            </w:r>
          </w:p>
        </w:tc>
        <w:tc>
          <w:tcPr>
            <w:tcW w:type="dxa" w:w="1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0.0053</w:t>
            </w:r>
          </w:p>
        </w:tc>
        <w:tc>
          <w:tcPr>
            <w:tcW w:type="dxa" w:w="1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Reject H₀</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RQ4</w:t>
            </w:r>
          </w:p>
        </w:tc>
        <w:tc>
          <w:tcPr>
            <w:tcW w:type="dxa" w:w="2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Eco-Friendly Prop.</w:t>
            </w:r>
          </w:p>
        </w:tc>
        <w:tc>
          <w:tcPr>
            <w:tcW w:type="dxa" w:w="17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Binomial z-test</w:t>
            </w:r>
          </w:p>
        </w:tc>
        <w:tc>
          <w:tcPr>
            <w:tcW w:type="dxa" w:w="16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0.9030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Fail to reject H₀</w:t>
            </w:r>
          </w:p>
        </w:tc>
      </w:tr>
      <w:tr>
        <w:tc>
          <w:tcPr>
            <w:tcW w:type="dxa" w:w="22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RQ6</w:t>
            </w:r>
          </w:p>
        </w:tc>
        <w:tc>
          <w:tcPr>
            <w:tcW w:type="dxa" w:w="20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Time-of-Day Dist.</w:t>
            </w:r>
          </w:p>
        </w:tc>
        <w:tc>
          <w:tcPr>
            <w:tcW w:type="dxa" w:w="17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left"/>
            </w:pPr>
            <w:r>
              <w:rPr>
                <w:rFonts w:ascii="Arial" w:cs="Arial" w:eastAsia="Arial" w:hAnsi="Arial"/>
                <w:sz w:val="20"/>
                <w:szCs w:val="20"/>
              </w:rPr>
              <w:t xml:space="preserve">Chi-square</w:t>
            </w:r>
          </w:p>
        </w:tc>
        <w:tc>
          <w:tcPr>
            <w:tcW w:type="dxa" w:w="16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0.1353</w:t>
            </w:r>
          </w:p>
        </w:tc>
        <w:tc>
          <w:tcPr>
            <w:tcW w:type="dxa" w:w="18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vAlign w:val="center"/>
          </w:tcPr>
          <w:p>
            <w:pPr>
              <w:jc w:val="center"/>
            </w:pPr>
            <w:r>
              <w:rPr>
                <w:rFonts w:ascii="Arial" w:cs="Arial" w:eastAsia="Arial" w:hAnsi="Arial"/>
                <w:sz w:val="20"/>
                <w:szCs w:val="20"/>
              </w:rPr>
              <w:t xml:space="preserve">Fail to reject H₀</w:t>
            </w:r>
          </w:p>
        </w:tc>
      </w:tr>
    </w:tbl>
    <w:p>
      <w:pPr>
        <w:spacing w:after="0" w:before="0"/>
      </w:pPr>
      <w:r>
        <w:t xml:space="preserve"/>
      </w:r>
    </w:p>
    <w:p>
      <w:r>
        <w:br w:type="page"/>
      </w:r>
    </w:p>
    <w:p>
      <w:pPr>
        <w:pStyle w:val="Heading1"/>
        <w:pBdr>
          <w:bottom w:val="single" w:color="2E5FA3" w:sz="6" w:space="4"/>
        </w:pBdr>
        <w:spacing w:after="160" w:before="360"/>
      </w:pPr>
      <w:r>
        <w:rPr>
          <w:rFonts w:ascii="Arial" w:cs="Arial" w:eastAsia="Arial" w:hAnsi="Arial"/>
          <w:b/>
          <w:bCs/>
          <w:color w:val="1F3864"/>
          <w:sz w:val="30"/>
          <w:szCs w:val="30"/>
        </w:rPr>
        <w:t xml:space="preserve">6. Conclusion</w:t>
      </w:r>
    </w:p>
    <w:p>
      <w:pPr>
        <w:pStyle w:val="Heading2"/>
        <w:spacing w:after="120" w:before="280"/>
      </w:pPr>
      <w:r>
        <w:rPr>
          <w:rFonts w:ascii="Arial" w:cs="Arial" w:eastAsia="Arial" w:hAnsi="Arial"/>
          <w:b/>
          <w:bCs/>
          <w:color w:val="2E5FA3"/>
          <w:sz w:val="26"/>
          <w:szCs w:val="26"/>
        </w:rPr>
        <w:t xml:space="preserve">6.1  Summary of Findings</w:t>
      </w:r>
    </w:p>
    <w:p>
      <w:pPr>
        <w:spacing w:after="100" w:before="100" w:line="320"/>
        <w:jc w:val="both"/>
      </w:pPr>
      <w:r>
        <w:rPr>
          <w:rFonts w:ascii="Arial" w:cs="Arial" w:eastAsia="Arial" w:hAnsi="Arial"/>
          <w:b w:val="false"/>
          <w:bCs w:val="false"/>
          <w:i w:val="false"/>
          <w:iCs w:val="false"/>
          <w:color w:val="000000"/>
          <w:sz w:val="22"/>
          <w:szCs w:val="22"/>
        </w:rPr>
        <w:t xml:space="preserve">This study examined generational differences in quick commerce consumer behaviour between Gen Z (aged 14–30, n = 54) and Gen X (aged 40–75, n = 47) across Indian urban markets. Using a structured survey administered in April 2026, four research questions were addressed through formal probability models and hypothesis tests.</w:t>
      </w:r>
    </w:p>
    <w:p>
      <w:pPr>
        <w:spacing w:after="100" w:before="100" w:line="320"/>
        <w:jc w:val="both"/>
      </w:pPr>
      <w:r>
        <w:rPr>
          <w:rFonts w:ascii="Arial" w:cs="Arial" w:eastAsia="Arial" w:hAnsi="Arial"/>
          <w:b w:val="false"/>
          <w:bCs w:val="false"/>
          <w:i w:val="false"/>
          <w:iCs w:val="false"/>
          <w:color w:val="000000"/>
          <w:sz w:val="22"/>
          <w:szCs w:val="22"/>
        </w:rPr>
        <w:t xml:space="preserve">The most robust and theoretically significant finding concerns spending behaviour (RQ2). Gen X consumers spend approximately 2.7 times more per order than Gen Z in expectation — INR 1,621 versus INR 593 — a difference that is highly statistically significant (p = 0.005) and practically meaningful. This aligns with the hypothesis that Gen Z gravitates toward smaller, high-frequency impulse purchases, while Gen X makes larger, more considered transactions, potentially reflecting greater disposable income, household size, and diverse purchasing needs.</w:t>
      </w:r>
    </w:p>
    <w:p>
      <w:pPr>
        <w:spacing w:after="100" w:before="100" w:line="320"/>
        <w:jc w:val="both"/>
      </w:pPr>
      <w:r>
        <w:rPr>
          <w:rFonts w:ascii="Arial" w:cs="Arial" w:eastAsia="Arial" w:hAnsi="Arial"/>
          <w:b w:val="false"/>
          <w:bCs w:val="false"/>
          <w:i w:val="false"/>
          <w:iCs w:val="false"/>
          <w:color w:val="000000"/>
          <w:sz w:val="22"/>
          <w:szCs w:val="22"/>
        </w:rPr>
        <w:t xml:space="preserve">Order frequency (RQ1) is strikingly similar across cohorts (λ̂_Z = 5.89 vs λ̂_X = 5.66 orders per week, p = 0.316), indicating that both generations have adopted quick commerce with comparable intensity. This suggests the platforms have successfully cross-generational appeal — competing primarily on convenience and 24/7 availability, both cited as dominant motivations by roughly 80% of respondents across cohorts.</w:t>
      </w:r>
    </w:p>
    <w:p>
      <w:pPr>
        <w:spacing w:after="100" w:before="100" w:line="320"/>
        <w:jc w:val="both"/>
      </w:pPr>
      <w:r>
        <w:rPr>
          <w:rFonts w:ascii="Arial" w:cs="Arial" w:eastAsia="Arial" w:hAnsi="Arial"/>
          <w:b w:val="false"/>
          <w:bCs w:val="false"/>
          <w:i w:val="false"/>
          <w:iCs w:val="false"/>
          <w:color w:val="000000"/>
          <w:sz w:val="22"/>
          <w:szCs w:val="22"/>
        </w:rPr>
        <w:t xml:space="preserve">The eco-friendly purchasing hypothesis (RQ4) was not only unsupported but directionally reversed: Gen X reported a higher mean eco-friendly item proportion (π̂_X = 0.49 vs π̂_Z = 0.37), though the difference was not statistically significant (p = 0.903). This finding complicates the common narrative of Gen Z as environmentally-driven consumers, and may reflect Gen X's greater purchasing power enabling access to premium and sustainable product lines.</w:t>
      </w:r>
    </w:p>
    <w:p>
      <w:pPr>
        <w:spacing w:after="100" w:before="100" w:line="320"/>
        <w:jc w:val="both"/>
      </w:pPr>
      <w:r>
        <w:rPr>
          <w:rFonts w:ascii="Arial" w:cs="Arial" w:eastAsia="Arial" w:hAnsi="Arial"/>
          <w:b w:val="false"/>
          <w:bCs w:val="false"/>
          <w:i w:val="false"/>
          <w:iCs w:val="false"/>
          <w:color w:val="000000"/>
          <w:sz w:val="22"/>
          <w:szCs w:val="22"/>
        </w:rPr>
        <w:t xml:space="preserve">Time-of-day ordering patterns (RQ6) showed directionally consistent differences — Gen Z ordering notably more at Late Night (29.6% vs 14.9%), Gen X more at Morning (17.0% vs 5.6%) — but the chi-square test of homogeneity failed to reach significance (p = 0.135). The result is best interpreted as promising evidence of a lifestyle-based behavioural gap that a larger sample would likely confirm.</w:t>
      </w:r>
    </w:p>
    <w:p>
      <w:pPr>
        <w:pStyle w:val="Heading2"/>
        <w:spacing w:after="120" w:before="280"/>
      </w:pPr>
      <w:r>
        <w:rPr>
          <w:rFonts w:ascii="Arial" w:cs="Arial" w:eastAsia="Arial" w:hAnsi="Arial"/>
          <w:b/>
          <w:bCs/>
          <w:color w:val="2E5FA3"/>
          <w:sz w:val="26"/>
          <w:szCs w:val="26"/>
        </w:rPr>
        <w:t xml:space="preserve">6.2  Theoretical Implications</w:t>
      </w:r>
    </w:p>
    <w:p>
      <w:pPr>
        <w:spacing w:after="100" w:before="100" w:line="320"/>
        <w:jc w:val="both"/>
      </w:pPr>
      <w:r>
        <w:rPr>
          <w:rFonts w:ascii="Arial" w:cs="Arial" w:eastAsia="Arial" w:hAnsi="Arial"/>
          <w:b w:val="false"/>
          <w:bCs w:val="false"/>
          <w:i w:val="false"/>
          <w:iCs w:val="false"/>
          <w:color w:val="000000"/>
          <w:sz w:val="22"/>
          <w:szCs w:val="22"/>
        </w:rPr>
        <w:t xml:space="preserve">These findings contribute to the emerging literature on generational consumer behaviour in digital commerce contexts. The convergence in order frequency challenges the popular assumption that digital nativity confers a usage advantage; instead, convenience and time-poverty appear to be the primary adoption drivers across the age spectrum. The divergence in spending per order is consistent with lifecycle theory: Gen X, operating with greater financial resources and household responsibilities, treats quick commerce as a tool for consolidated, higher-value purchasing, while Gen Z leverages it for affordable, spontaneous consumption. The unexpected eco-friendly result invites reconsideration of whether environmental values, when present in Gen Z, actually manifest in quick commerce channels — or are more salient in other consumption contexts.</w:t>
      </w:r>
    </w:p>
    <w:p>
      <w:pPr>
        <w:pStyle w:val="Heading2"/>
        <w:spacing w:after="120" w:before="280"/>
      </w:pPr>
      <w:r>
        <w:rPr>
          <w:rFonts w:ascii="Arial" w:cs="Arial" w:eastAsia="Arial" w:hAnsi="Arial"/>
          <w:b/>
          <w:bCs/>
          <w:color w:val="2E5FA3"/>
          <w:sz w:val="26"/>
          <w:szCs w:val="26"/>
        </w:rPr>
        <w:t xml:space="preserve">6.3  Limitations</w:t>
      </w:r>
    </w:p>
    <w:p>
      <w:pPr>
        <w:spacing w:after="100" w:before="100" w:line="320"/>
        <w:jc w:val="both"/>
      </w:pPr>
      <w:r>
        <w:rPr>
          <w:rFonts w:ascii="Arial" w:cs="Arial" w:eastAsia="Arial" w:hAnsi="Arial"/>
          <w:b w:val="false"/>
          <w:bCs w:val="false"/>
          <w:i w:val="false"/>
          <w:iCs w:val="false"/>
          <w:color w:val="000000"/>
          <w:sz w:val="22"/>
          <w:szCs w:val="22"/>
        </w:rPr>
        <w:t xml:space="preserve">Several limitations should be noted when interpreting these findings:</w:t>
      </w:r>
    </w:p>
    <w:p>
      <w:pPr>
        <w:pStyle w:val="ListParagraph"/>
        <w:numPr>
          <w:ilvl w:val="0"/>
          <w:numId w:val="2"/>
        </w:numPr>
        <w:spacing w:after="60" w:before="60"/>
      </w:pPr>
      <w:r>
        <w:rPr>
          <w:rFonts w:ascii="Arial" w:cs="Arial" w:eastAsia="Arial" w:hAnsi="Arial"/>
          <w:b w:val="false"/>
          <w:bCs w:val="false"/>
          <w:sz w:val="22"/>
          <w:szCs w:val="22"/>
        </w:rPr>
        <w:t xml:space="preserve">Convenience sampling restricts formal generalisation. The sample was distributed through personal and professional networks, likely introducing homophily biases and over-representing urban, educated respondents.</w:t>
      </w:r>
    </w:p>
    <w:p>
      <w:pPr>
        <w:pStyle w:val="ListParagraph"/>
        <w:numPr>
          <w:ilvl w:val="0"/>
          <w:numId w:val="2"/>
        </w:numPr>
        <w:spacing w:after="60" w:before="60"/>
      </w:pPr>
      <w:r>
        <w:rPr>
          <w:rFonts w:ascii="Arial" w:cs="Arial" w:eastAsia="Arial" w:hAnsi="Arial"/>
          <w:b w:val="false"/>
          <w:bCs w:val="false"/>
          <w:sz w:val="22"/>
          <w:szCs w:val="22"/>
        </w:rPr>
        <w:t xml:space="preserve">Self-reported behavioural data is susceptible to recall bias and social desirability effects, particularly for eco-friendly purchasing, where respondents may over-report environmentally conscious choices.</w:t>
      </w:r>
    </w:p>
    <w:p>
      <w:pPr>
        <w:pStyle w:val="ListParagraph"/>
        <w:numPr>
          <w:ilvl w:val="0"/>
          <w:numId w:val="2"/>
        </w:numPr>
        <w:spacing w:after="60" w:before="60"/>
      </w:pPr>
      <w:r>
        <w:rPr>
          <w:rFonts w:ascii="Arial" w:cs="Arial" w:eastAsia="Arial" w:hAnsi="Arial"/>
          <w:b w:val="false"/>
          <w:bCs w:val="false"/>
          <w:sz w:val="22"/>
          <w:szCs w:val="22"/>
        </w:rPr>
        <w:t xml:space="preserve">The sample size, while adequate for the two significant comparisons, yields limited statistical power for detecting moderate-sized effects in RQ1, RQ4, and RQ6. The time-of-day analysis in particular is underpowered.</w:t>
      </w:r>
    </w:p>
    <w:p>
      <w:pPr>
        <w:pStyle w:val="ListParagraph"/>
        <w:numPr>
          <w:ilvl w:val="0"/>
          <w:numId w:val="2"/>
        </w:numPr>
        <w:spacing w:after="60" w:before="60"/>
      </w:pPr>
      <w:r>
        <w:rPr>
          <w:rFonts w:ascii="Arial" w:cs="Arial" w:eastAsia="Arial" w:hAnsi="Arial"/>
          <w:b w:val="false"/>
          <w:bCs w:val="false"/>
          <w:sz w:val="22"/>
          <w:szCs w:val="22"/>
        </w:rPr>
        <w:t xml:space="preserve">The age-group boundaries defining 'Gen Z' (14–30) and 'Gen X' (40–75) are broader than standard generational definitions (typically Gen Z: 1997–2012; Gen X: 1965–1980), potentially introducing intra-cohort heterogeneity, particularly within the Gen X band which spans 35 years.</w:t>
      </w:r>
    </w:p>
    <w:p>
      <w:pPr>
        <w:pStyle w:val="ListParagraph"/>
        <w:numPr>
          <w:ilvl w:val="0"/>
          <w:numId w:val="2"/>
        </w:numPr>
        <w:spacing w:after="60" w:before="60"/>
      </w:pPr>
      <w:r>
        <w:rPr>
          <w:rFonts w:ascii="Arial" w:cs="Arial" w:eastAsia="Arial" w:hAnsi="Arial"/>
          <w:b w:val="false"/>
          <w:bCs w:val="false"/>
          <w:sz w:val="22"/>
          <w:szCs w:val="22"/>
        </w:rPr>
        <w:t xml:space="preserve">Zero-order respondents were excluded to satisfy modelling assumptions, but their inclusion in a zero-inflated framework could yield insights into non-adoption or occasional usage patterns.</w:t>
      </w:r>
    </w:p>
    <w:p>
      <w:pPr>
        <w:pStyle w:val="Heading2"/>
        <w:spacing w:after="120" w:before="280"/>
      </w:pPr>
      <w:r>
        <w:rPr>
          <w:rFonts w:ascii="Arial" w:cs="Arial" w:eastAsia="Arial" w:hAnsi="Arial"/>
          <w:b/>
          <w:bCs/>
          <w:color w:val="2E5FA3"/>
          <w:sz w:val="26"/>
          <w:szCs w:val="26"/>
        </w:rPr>
        <w:t xml:space="preserve">6.4  Directions for Future Research</w:t>
      </w:r>
    </w:p>
    <w:p>
      <w:pPr>
        <w:spacing w:after="100" w:before="100" w:line="320"/>
        <w:jc w:val="both"/>
      </w:pPr>
      <w:r>
        <w:rPr>
          <w:rFonts w:ascii="Arial" w:cs="Arial" w:eastAsia="Arial" w:hAnsi="Arial"/>
          <w:b w:val="false"/>
          <w:bCs w:val="false"/>
          <w:i w:val="false"/>
          <w:iCs w:val="false"/>
          <w:color w:val="000000"/>
          <w:sz w:val="22"/>
          <w:szCs w:val="22"/>
        </w:rPr>
        <w:t xml:space="preserve">Future studies should prioritise larger, stratified probability samples to improve statistical power and generalisability. Longitudinal designs tracking the same respondents across multiple time points would enable causal inference about how adoption behaviour evolves as Gen Z ages into higher income brackets. The eco-friendly purchasing question warrants instrument redesign — perhaps presenting specific product categories (organic, biodegradable, sustainably sourced) rather than relying on self-assessment. Incorporating platform-level transaction data, where accessible, would eliminate recall bias and enable precise frequency and spend modelling. Finally, expanding the analysis to include Tier-3 markets would shed light on how quick commerce penetration and usage patterns differ across varying levels of infrastructure and consumer urbanisation.</w:t>
      </w:r>
    </w:p>
    <w:p>
      <w:pPr>
        <w:spacing w:after="0" w:before="0"/>
      </w:pPr>
      <w:r>
        <w:t xml:space="preserve"/>
      </w:r>
    </w:p>
    <w:p>
      <w:pPr>
        <w:spacing w:after="0" w:before="0"/>
      </w:pPr>
      <w:r>
        <w:t xml:space="preserve"/>
      </w:r>
    </w:p>
    <w:p>
      <w:pPr>
        <w:spacing w:before="400"/>
        <w:jc w:val="center"/>
      </w:pPr>
      <w:r>
        <w:rPr>
          <w:rFonts w:ascii="Arial" w:cs="Arial" w:eastAsia="Arial" w:hAnsi="Arial"/>
          <w:i/>
          <w:iCs/>
          <w:color w:val="888888"/>
          <w:sz w:val="20"/>
          <w:szCs w:val="20"/>
        </w:rPr>
        <w:t xml:space="preserve">— End of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Quick Commerce &amp; Generational Behaviour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2026-04-19T03:26:02.038Z</dcterms:created>
  <dcterms:modified xsi:type="dcterms:W3CDTF">2026-04-19T03:26:02.067Z</dcterms:modified>
</cp:coreProperties>
</file>

<file path=docProps/custom.xml><?xml version="1.0" encoding="utf-8"?>
<Properties xmlns="http://schemas.openxmlformats.org/officeDocument/2006/custom-properties" xmlns:vt="http://schemas.openxmlformats.org/officeDocument/2006/docPropsVTypes"/>
</file>