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600" w:after="0"/>
        <w:jc w:val="right"/>
      </w:pPr>
    </w:p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1F497D" w:val="clear"/>
          </w:tcPr>
          <w:p>
            <w:pPr>
              <w:bidi/>
              <w:spacing w:before="280" w:after="280"/>
              <w:jc w:val="center"/>
            </w:pPr>
            <w:r>
              <w:rPr>
                <w:rFonts w:ascii="Simplified Arabic" w:hAnsi="Simplified Arabic"/>
                <w:b/>
                <w:i w:val="0"/>
                <w:color w:val="FFFFFF"/>
                <w:sz w:val="40"/>
              </w:rPr>
              <w:t>الجمهورية العراقية</w:t>
            </w:r>
          </w:p>
        </w:tc>
      </w:tr>
    </w:tbl>
    <w:p>
      <w:pPr>
        <w:bidi/>
        <w:spacing w:before="12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EF0FA" w:val="clear"/>
          </w:tcPr>
          <w:p>
            <w:pPr>
              <w:bidi/>
              <w:spacing w:before="400" w:after="200"/>
              <w:jc w:val="center"/>
            </w:pPr>
            <w:r>
              <w:rPr>
                <w:rFonts w:ascii="Simplified Arabic" w:hAnsi="Simplified Arabic"/>
                <w:b/>
                <w:i w:val="0"/>
                <w:color w:val="1F497D"/>
                <w:sz w:val="44"/>
              </w:rPr>
              <w:t>تقرير الشفافية الثنائي الأول للجمهورية العراقية</w:t>
            </w:r>
          </w:p>
          <w:p>
            <w:pPr>
              <w:bidi/>
              <w:spacing w:after="400"/>
              <w:jc w:val="center"/>
            </w:pPr>
            <w:r>
              <w:rPr>
                <w:rFonts w:ascii="Simplified Arabic" w:hAnsi="Simplified Arabic"/>
                <w:b w:val="0"/>
                <w:i w:val="0"/>
                <w:color w:val="2E75B6"/>
                <w:sz w:val="28"/>
              </w:rPr>
              <w:t>بموجب إطار الشفافية المعزز - اتفاقية باريس</w:t>
            </w:r>
          </w:p>
        </w:tc>
      </w:tr>
    </w:tbl>
    <w:p>
      <w:pPr>
        <w:bidi/>
        <w:spacing w:before="400" w:after="8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i w:val="0"/>
          <w:color w:val="707070"/>
          <w:sz w:val="26"/>
        </w:rPr>
        <w:t>الجهة المُعِدة: وزارة البيئة - قسم سياسات المناخ</w:t>
      </w: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i w:val="0"/>
          <w:color w:val="707070"/>
          <w:sz w:val="26"/>
        </w:rPr>
        <w:t>تاريخ الإصدار: ديسمبر 2024</w:t>
      </w: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i w:val="0"/>
          <w:color w:val="707070"/>
          <w:sz w:val="26"/>
        </w:rPr>
        <w:t>الفترة المرجعية: 1990 - 2021</w:t>
      </w: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i w:val="0"/>
          <w:color w:val="707070"/>
          <w:sz w:val="26"/>
        </w:rPr>
        <w:t>الإرشادات المعتمدة: إرشادات IPCC 2006 | AR5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أولاً: الجرد الوطني لغازات الاحتباس الحراري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يعرض هذا القسم نتائج الجرد الوطني للعراق للفترة 1990 - 2021، المُعَدّ وفق إرشادات إرشادات IPCC 2006 باستخدام قيم إمكانية الاحترار العالمي AR5.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إجمالي 2021 (Gg CO2eq)</w:t>
            </w:r>
          </w:p>
        </w:tc>
        <w:tc>
          <w:tcPr>
            <w:tcW w:type="dxa" w:w="302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إجمالي 2020 (Gg CO2eq)</w:t>
            </w:r>
          </w:p>
        </w:tc>
        <w:tc>
          <w:tcPr>
            <w:tcW w:type="dxa" w:w="302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التغيير منذ 1990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32"/>
              </w:rPr>
              <w:t>195,800</w:t>
            </w:r>
          </w:p>
        </w:tc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32"/>
              </w:rPr>
              <w:t>190,342</w:t>
            </w:r>
          </w:p>
        </w:tc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C00000"/>
                <w:sz w:val="32"/>
              </w:rPr>
              <w:t>+137.6%</w:t>
            </w:r>
          </w:p>
        </w:tc>
      </w:tr>
    </w:tbl>
    <w:p>
      <w:pPr>
        <w:bidi/>
        <w:spacing w:before="16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1.1  الانبعاثات حسب القطاع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القطاع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انبعاثات 2021</w:t>
              <w:br/>
              <w:t>(Gg CO2eq)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انبعاثات 2020</w:t>
              <w:br/>
              <w:t>(Gg CO2eq)</w:t>
            </w:r>
          </w:p>
        </w:tc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الملاحظة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1 - الطاقة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172,500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165,430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707070"/>
                <w:sz w:val="22"/>
              </w:rPr>
              <w:t>يشمل احتراق الوقود والانبعاثات المتسرّبة من قطاع النفط والغاز</w:t>
            </w:r>
          </w:p>
        </w:tc>
      </w:tr>
      <w:tr>
        <w:tc>
          <w:tcPr>
            <w:tcW w:type="dxa" w:w="226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2 - العمليات الصناعية واستخدام المنتجات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9,200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8,750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707070"/>
                <w:sz w:val="22"/>
              </w:rPr>
              <w:t>يشمل صناعة الإسمنت والصناعات الكيميائية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3 - الزراعة والأراضي وإزالة الغابات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10,100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12,340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707070"/>
                <w:sz w:val="22"/>
              </w:rPr>
              <w:t>يشمل انبعاثات الثروة الحيوانية وإدارة الأراضي</w:t>
            </w:r>
          </w:p>
        </w:tc>
      </w:tr>
      <w:tr>
        <w:tc>
          <w:tcPr>
            <w:tcW w:type="dxa" w:w="226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4 - النفايات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4,000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3,820</w:t>
            </w:r>
          </w:p>
        </w:tc>
        <w:tc>
          <w:tcPr>
            <w:tcW w:type="dxa" w:w="226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707070"/>
                <w:sz w:val="22"/>
              </w:rPr>
              <w:t>يشمل مكبّات النفايات الصلبة ومعالجة مياه الصرف الصحي</w:t>
            </w:r>
          </w:p>
        </w:tc>
      </w:tr>
    </w:tbl>
    <w:p>
      <w:pPr>
        <w:pBdr>
          <w:bottom w:val="single" w:sz="4" w:color="CCCCCC"/>
        </w:pBdr>
        <w:spacing w:after="120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ثانياً: التقدم في تنفيذ المساهمة الوطنية المحددة (NDC)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تتضمن المساهمة الوطنية المحددة للعراق هدفاً غير مشروط ومشروط، يرمي إلى خفض الانبعاثات بنسبة 2.5% بحلول 2030 بجهود ذاتية، وخفض الانبعاثات بنسبة 15% بحلول 2030 بدعم دولي.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2.1  مؤشرات التقدم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المؤشر</w:t>
            </w:r>
          </w:p>
        </w:tc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الأساس 2021</w:t>
            </w:r>
          </w:p>
        </w:tc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الوضع الحالي 2023</w:t>
            </w:r>
          </w:p>
        </w:tc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الهدف 2030</w:t>
            </w:r>
          </w:p>
        </w:tc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الاتجاه</w:t>
            </w:r>
          </w:p>
        </w:tc>
      </w:tr>
      <w:tr>
        <w:tc>
          <w:tcPr>
            <w:tcW w:type="dxa" w:w="1814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2"/>
              </w:rPr>
              <w:t>حصة الطاقة المتجددة في مزيج الكهرباء</w:t>
              <w:br/>
              <w:t>(%)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2.1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4.8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12.0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378644"/>
                <w:sz w:val="24"/>
              </w:rPr>
              <w:t>↑ إيجابي</w:t>
            </w:r>
          </w:p>
        </w:tc>
      </w:tr>
      <w:tr>
        <w:tc>
          <w:tcPr>
            <w:tcW w:type="dxa" w:w="1814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2"/>
              </w:rPr>
              <w:t>القدرة المركّبة من الطاقة الشمسية</w:t>
              <w:br/>
              <w:t>(غيغاواط)</w:t>
            </w:r>
          </w:p>
        </w:tc>
        <w:tc>
          <w:tcPr>
            <w:tcW w:type="dxa" w:w="1814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0.5</w:t>
            </w:r>
          </w:p>
        </w:tc>
        <w:tc>
          <w:tcPr>
            <w:tcW w:type="dxa" w:w="1814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1.2</w:t>
            </w:r>
          </w:p>
        </w:tc>
        <w:tc>
          <w:tcPr>
            <w:tcW w:type="dxa" w:w="1814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7.0</w:t>
            </w:r>
          </w:p>
        </w:tc>
        <w:tc>
          <w:tcPr>
            <w:tcW w:type="dxa" w:w="1814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378644"/>
                <w:sz w:val="24"/>
              </w:rPr>
              <w:t>↑ إيجابي</w:t>
            </w:r>
          </w:p>
        </w:tc>
      </w:tr>
      <w:tr>
        <w:tc>
          <w:tcPr>
            <w:tcW w:type="dxa" w:w="1814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2"/>
              </w:rPr>
              <w:t>كثافة انبعاثات قطاع الكهرباء</w:t>
              <w:br/>
              <w:t>(كغ CO2/كيلوواط ساعة)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0.68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0.65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0.55</w:t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378644"/>
                <w:sz w:val="24"/>
              </w:rPr>
              <w:t>↑ إيجابي</w:t>
            </w:r>
          </w:p>
        </w:tc>
      </w:tr>
    </w:tbl>
    <w:p>
      <w:pPr>
        <w:pBdr>
          <w:bottom w:val="single" w:sz="4" w:color="CCCCCC"/>
        </w:pBdr>
        <w:spacing w:after="120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ثالثاً: السياسات والإجراءات المناخية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يستعرض هذا القسم أبرز السياسات والإجراءات الوطنية المنفّذة للحد من انبعاثات غازات الاحتباس الحراري في القطاعات ذات الأولوية.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1. استراتيجية الطاقة الوطنية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الطاقة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النوع والحالة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استراتيجية وطنية | قيد التنفيذ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التخفيض المتوقع 2030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8,500 Gg 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الوصف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ترمي إلى تنويع مصادر الطاقة وتعزيز كفاءتها وخفض الاعتماد على الوقود الأحفوري</w:t>
            </w:r>
          </w:p>
        </w:tc>
      </w:tr>
    </w:tbl>
    <w:p>
      <w:pPr>
        <w:bidi/>
        <w:spacing w:before="8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2. برنامج الطاقة الشمسية الوطني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الطاقة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النوع والحالة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برنامج حكومي | قيد التنفيذ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التخفيض المتوقع 2030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12,000 Gg 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الوصف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استهداف تركيب 7 غيغاواط من الطاقة الشمسية بحلول 2030 عبر مشاريع حكومية وخاصة</w:t>
            </w:r>
          </w:p>
        </w:tc>
      </w:tr>
    </w:tbl>
    <w:p>
      <w:pPr>
        <w:bidi/>
        <w:spacing w:before="8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3. مشروع الحد من حرق الغاز المصاحب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النفط والغاز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النوع والحالة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مشروع استثماري | قيد التنفيذ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التخفيض المتوقع 2030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18,000 Gg 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الوصف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تحويل الغاز المحروق في حقول النفط إلى طاقة كهربائية ومواد خام صناعية</w:t>
            </w:r>
          </w:p>
        </w:tc>
      </w:tr>
    </w:tbl>
    <w:p>
      <w:pPr>
        <w:bidi/>
        <w:spacing w:before="80" w:after="80"/>
        <w:jc w:val="right"/>
      </w:pPr>
    </w:p>
    <w:p>
      <w:pPr>
        <w:pBdr>
          <w:bottom w:val="single" w:sz="4" w:color="CCCCCC"/>
        </w:pBdr>
        <w:spacing w:after="120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رابعاً: احتياجات الدعم المالي والتكنولوجي وبناء القدرات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الاحتياج الإجمالي</w:t>
            </w:r>
          </w:p>
        </w:tc>
        <w:tc>
          <w:tcPr>
            <w:tcW w:type="dxa" w:w="3024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التمويل المُستلَم</w:t>
            </w:r>
          </w:p>
        </w:tc>
        <w:tc>
          <w:tcPr>
            <w:tcW w:type="dxa" w:w="3024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الفجوة التمويلية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30"/>
              </w:rPr>
              <w:t>88 مليار $</w:t>
            </w:r>
          </w:p>
        </w:tc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37864B"/>
                <w:sz w:val="30"/>
              </w:rPr>
              <w:t>35.65 مليون $</w:t>
            </w:r>
          </w:p>
        </w:tc>
        <w:tc>
          <w:tcPr>
            <w:tcW w:type="dxa" w:w="3024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C00000"/>
                <w:sz w:val="30"/>
              </w:rPr>
              <w:t>87.96 مليار $</w:t>
            </w:r>
          </w:p>
        </w:tc>
      </w:tr>
    </w:tbl>
    <w:p>
      <w:pPr>
        <w:bidi/>
        <w:spacing w:before="20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4.1  الاحتياجات التكنولوجية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تقنيات الطاقة الشمسية وتخزين الطاقة بالبطاريات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تقنيات احتجاز الكربون وتخزينه وتحويله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أنظمة الذكاء الاصطناعي لإدارة شبكات الكهرباء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تقنيات الري الحديث وترشيد استهلاك المياه</w:t>
      </w:r>
    </w:p>
    <w:p>
      <w:pPr>
        <w:bidi/>
        <w:spacing w:before="12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4.2  بناء القدرات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تدريب مجمّعي الجرد الوطني على إرشادات IPCC 2006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بناء نظام MRV وطني متكامل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تطوير قدرات نمذجة سيناريوهات التخفيف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i w:val="0"/>
          <w:color w:val="262626"/>
          <w:sz w:val="26"/>
        </w:rPr>
        <w:t>◀  تأهيل الكوادر الفنية لإعداد تقارير BTR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i w:val="0"/>
        <w:color w:val="707070"/>
        <w:sz w:val="20"/>
      </w:rPr>
      <w:t>تقرير الشفافية الثنائي الأول للجمهورية العراقية  |  وزارة البيئة - قسم سياسات المناخ  |  ديسمبر 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