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32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28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0"/>
              </w:rPr>
              <w:t>ورقة إحاطة الوفد العراقي</w:t>
            </w:r>
          </w:p>
          <w:p>
            <w:pPr>
              <w:bidi/>
              <w:spacing w:after="28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32"/>
              </w:rPr>
              <w:t>SB62 - الدورة الثانية والستون للهيئتين الفرعيتين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المكان: بون - ألمانيا  |  التاريخ: يونيو 2026  |  إعداد: 09/05/2026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معلومات المؤتمر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اسم المؤتمر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SB62 - الدورة الثانية والستون للهيئتين الفرعيتين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المكان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بون - ألمانيا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الفترة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2026-06-02 إلى 2026-06-13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حجم الوفد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3 أعضاء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تشكيل الوفد العراقي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الاسم</w:t>
            </w:r>
          </w:p>
        </w:tc>
        <w:tc>
          <w:tcPr>
            <w:tcW w:type="dxa" w:w="3402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المنصب</w:t>
            </w:r>
          </w:p>
        </w:tc>
        <w:tc>
          <w:tcPr>
            <w:tcW w:type="dxa" w:w="3402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الوزارة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رئيس الوفد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مدير عام التغير المناخي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البيئة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المفاوض 1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مستشار سياسات المناخ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البيئة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المفاوض 2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خبير الجرد الوطني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البيئة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جدول الجلسات والأولويات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المعرّف</w:t>
            </w:r>
          </w:p>
        </w:tc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الموضوع</w:t>
            </w:r>
          </w:p>
        </w:tc>
        <w:tc>
          <w:tcPr>
            <w:tcW w:type="dxa" w:w="158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الهيئة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التاريخ</w:t>
            </w:r>
          </w:p>
        </w:tc>
        <w:tc>
          <w:tcPr>
            <w:tcW w:type="dxa" w:w="1020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الوقت</w:t>
            </w:r>
          </w:p>
        </w:tc>
        <w:tc>
          <w:tcPr>
            <w:tcW w:type="dxa" w:w="124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الأولوية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SBSTA-62-1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المادة 6.2 - مراجعة معايير مقابلات الحساب</w:t>
            </w:r>
          </w:p>
        </w:tc>
        <w:tc>
          <w:tcPr>
            <w:tcW w:type="dxa" w:w="1606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SBSTA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2026-06-03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10:00</w:t>
            </w:r>
          </w:p>
        </w:tc>
        <w:tc>
          <w:tcPr>
            <w:tcW w:type="dxa" w:w="1606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</w:tr>
      <w:tr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SBI-62-1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إطار الشفافية المعزز - ETF</w:t>
            </w:r>
          </w:p>
        </w:tc>
        <w:tc>
          <w:tcPr>
            <w:tcW w:type="dxa" w:w="1606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SBI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2026-06-04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15:00</w:t>
            </w:r>
          </w:p>
        </w:tc>
        <w:tc>
          <w:tcPr>
            <w:tcW w:type="dxa" w:w="1606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SBSTA-62-2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برنامج العمل التخفيفي - MWP</w:t>
            </w:r>
          </w:p>
        </w:tc>
        <w:tc>
          <w:tcPr>
            <w:tcW w:type="dxa" w:w="1606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SBSTA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2026-06-05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10:00</w:t>
            </w:r>
          </w:p>
        </w:tc>
        <w:tc>
          <w:tcPr>
            <w:tcW w:type="dxa" w:w="1606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متوسطة</w:t>
            </w:r>
          </w:p>
        </w:tc>
      </w:tr>
      <w:tr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AG-1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اجتماع مجموعة الدول العربية</w:t>
            </w:r>
          </w:p>
        </w:tc>
        <w:tc>
          <w:tcPr>
            <w:tcW w:type="dxa" w:w="1606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Arab Group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2026-06-02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09:00</w:t>
            </w:r>
          </w:p>
        </w:tc>
        <w:tc>
          <w:tcPr>
            <w:tcW w:type="dxa" w:w="1606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رابعاً: المواقف التفاوضية لكل جلسة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SBSTA-62-1: المادة 6.2 - مراجعة معايير مقابلات الحساب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موقف العراق: </w:t>
      </w:r>
      <w:r>
        <w:rPr>
          <w:rFonts w:ascii="Simplified Arabic" w:hAnsi="Simplified Arabic"/>
          <w:b w:val="0"/>
          <w:color w:val="262626"/>
          <w:sz w:val="26"/>
        </w:rPr>
        <w:t>دعم المرونة للدول النامية في آليات الإبلاغ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1F497D"/>
          <w:sz w:val="26"/>
        </w:rPr>
        <w:t>النقاط الرئيسية للتدخل: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التأكيد على مبدأ السيادة الوطنية في اختيار المشاريع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طلب تمديد فترة تطبيق الإرشادات على الدول النامية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دعم موقف مجموعة الدول العربية المشترك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707070"/>
          <w:sz w:val="24"/>
        </w:rPr>
        <w:t xml:space="preserve">الوثائق: </w:t>
      </w:r>
      <w:r>
        <w:rPr>
          <w:rFonts w:ascii="Simplified Arabic" w:hAnsi="Simplified Arabic"/>
          <w:b w:val="0"/>
          <w:color w:val="707070"/>
          <w:sz w:val="24"/>
        </w:rPr>
        <w:t>FCCC/SBSTA/2026/L.1  |  FCCC/PA/CMA/2026/1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SBI-62-1: إطار الشفافية المعزز - ETF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موقف العراق: </w:t>
      </w:r>
      <w:r>
        <w:rPr>
          <w:rFonts w:ascii="Simplified Arabic" w:hAnsi="Simplified Arabic"/>
          <w:b w:val="0"/>
          <w:color w:val="262626"/>
          <w:sz w:val="26"/>
        </w:rPr>
        <w:t>دعم المرونة في متطلبات BTR للدول النامية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1F497D"/>
          <w:sz w:val="26"/>
        </w:rPr>
        <w:t>النقاط الرئيسية للتدخل: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طلب تمديد الدعم التقني لإعداد BTR2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التأكيد على أهمية بناء القدرات المرافق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707070"/>
          <w:sz w:val="24"/>
        </w:rPr>
        <w:t xml:space="preserve">الوثائق: </w:t>
      </w:r>
      <w:r>
        <w:rPr>
          <w:rFonts w:ascii="Simplified Arabic" w:hAnsi="Simplified Arabic"/>
          <w:b w:val="0"/>
          <w:color w:val="707070"/>
          <w:sz w:val="24"/>
        </w:rPr>
        <w:t>FCCC/SBI/2026/INF.3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AG-1: اجتماع مجموعة الدول العربية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موقف العراق: </w:t>
      </w:r>
      <w:r>
        <w:rPr>
          <w:rFonts w:ascii="Simplified Arabic" w:hAnsi="Simplified Arabic"/>
          <w:b w:val="0"/>
          <w:color w:val="262626"/>
          <w:sz w:val="26"/>
        </w:rPr>
        <w:t>التنسيق على مواقف المجموعة المشتركة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1F497D"/>
          <w:sz w:val="26"/>
        </w:rPr>
        <w:t>النقاط الرئيسية للتدخل: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مراجعة المواقف المشتركة للمجموعة على بنود الأجندة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◀  التنسيق على النصوص التفاوضية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خامساً: نقاط الإجراءات والمتابعة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المعرّف</w:t>
            </w:r>
          </w:p>
        </w:tc>
        <w:tc>
          <w:tcPr>
            <w:tcW w:type="dxa" w:w="3685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الإجراء المطلوب</w:t>
            </w:r>
          </w:p>
        </w:tc>
        <w:tc>
          <w:tcPr>
            <w:tcW w:type="dxa" w:w="1417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المسؤول</w:t>
            </w:r>
          </w:p>
        </w:tc>
        <w:tc>
          <w:tcPr>
            <w:tcW w:type="dxa" w:w="1417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الموعد</w:t>
            </w:r>
          </w:p>
        </w:tc>
        <w:tc>
          <w:tcPr>
            <w:tcW w:type="dxa" w:w="113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الأولوية</w:t>
            </w:r>
          </w:p>
        </w:tc>
        <w:tc>
          <w:tcPr>
            <w:tcW w:type="dxa" w:w="113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ACT-001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تقديم ورقة موقف العراق على المادة 6.2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المفاوض 1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2026-06-01</w:t>
            </w:r>
          </w:p>
        </w:tc>
        <w:tc>
          <w:tcPr>
            <w:tcW w:type="dxa" w:w="1606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  <w:tc>
          <w:tcPr>
            <w:tcW w:type="dxa" w:w="1606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معلّق</w:t>
            </w:r>
          </w:p>
        </w:tc>
      </w:tr>
      <w:tr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ACT-002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مراجعة وثيقة FCCC/SBSTA/2026/L.1 وإعداد التعليقات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المفاوض 2</w:t>
            </w:r>
          </w:p>
        </w:tc>
        <w:tc>
          <w:tcPr>
            <w:tcW w:type="dxa" w:w="1606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2026-06-02</w:t>
            </w:r>
          </w:p>
        </w:tc>
        <w:tc>
          <w:tcPr>
            <w:tcW w:type="dxa" w:w="1606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عالية</w:t>
            </w:r>
          </w:p>
        </w:tc>
        <w:tc>
          <w:tcPr>
            <w:tcW w:type="dxa" w:w="1606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معلّق</w:t>
            </w:r>
          </w:p>
        </w:tc>
      </w:tr>
      <w:tr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ACT-003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التنسيق مع الوفد الأردني على ورقة الدول العربية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رئيس الوفد</w:t>
            </w:r>
          </w:p>
        </w:tc>
        <w:tc>
          <w:tcPr>
            <w:tcW w:type="dxa" w:w="1606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2026-06-01</w:t>
            </w:r>
          </w:p>
        </w:tc>
        <w:tc>
          <w:tcPr>
            <w:tcW w:type="dxa" w:w="1606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متوسطة</w:t>
            </w:r>
          </w:p>
        </w:tc>
        <w:tc>
          <w:tcPr>
            <w:tcW w:type="dxa" w:w="1606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معلّق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ورقة إحاطة - SB62 - الدورة الثانية والستون للهيئتين الفرعيتين  |  09/05/2026  |  سري للاستخدام الرسمي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