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0" w:after="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97D" w:val="clear"/>
          </w:tcPr>
          <w:p>
            <w:pPr>
              <w:bidi/>
              <w:spacing w:before="280" w:after="120"/>
              <w:jc w:val="center"/>
            </w:pPr>
            <w:r>
              <w:rPr>
                <w:rFonts w:ascii="Simplified Arabic" w:hAnsi="Simplified Arabic"/>
                <w:b/>
                <w:color w:val="FFFFFF"/>
                <w:sz w:val="36"/>
              </w:rPr>
              <w:t>وثيقة مفهوم المشروع</w:t>
            </w:r>
          </w:p>
          <w:p>
            <w:pPr>
              <w:bidi/>
              <w:spacing w:after="280"/>
              <w:jc w:val="center"/>
            </w:pPr>
            <w:r>
              <w:rPr>
                <w:rFonts w:ascii="Simplified Arabic" w:hAnsi="Simplified Arabic"/>
                <w:b/>
                <w:color w:val="FFFFFF"/>
                <w:sz w:val="40"/>
              </w:rPr>
              <w:t>تعزيز مرونة قطاع المياه والزراعة في ظل تغير المناخ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EF0FA" w:val="clear"/>
          </w:tcPr>
          <w:p>
            <w:pPr>
              <w:bidi/>
              <w:spacing w:before="200" w:after="200"/>
              <w:jc w:val="center"/>
            </w:pPr>
            <w:r>
              <w:rPr>
                <w:rFonts w:ascii="Simplified Arabic" w:hAnsi="Simplified Arabic"/>
                <w:b w:val="0"/>
                <w:color w:val="1F497D"/>
                <w:sz w:val="26"/>
              </w:rPr>
              <w:t>صندوق المناخ الأخضر GCF  |  الجمهورية العراقية  |  09/05/2026</w:t>
            </w:r>
          </w:p>
        </w:tc>
      </w:tr>
    </w:tbl>
    <w:p>
      <w:pPr>
        <w:bidi/>
        <w:spacing w:before="160" w:after="80"/>
        <w:jc w:val="righ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تمويل GCF</w:t>
            </w:r>
          </w:p>
        </w:tc>
        <w:tc>
          <w:tcPr>
            <w:tcW w:type="dxa" w:w="3213"/>
            <w:shd w:fill="37864B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تمويل مشترك</w:t>
            </w:r>
          </w:p>
        </w:tc>
        <w:tc>
          <w:tcPr>
            <w:tcW w:type="dxa" w:w="3213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إجمالي المشروع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36"/>
              </w:rPr>
              <w:t>$35.0M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37864B"/>
                <w:sz w:val="36"/>
              </w:rPr>
              <w:t>$20.0M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2E75B6"/>
                <w:sz w:val="36"/>
              </w:rPr>
              <w:t>$55.0M</w:t>
            </w:r>
          </w:p>
        </w:tc>
      </w:tr>
    </w:tbl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القسم (أ): معلومات المشروع الأساسية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عنوان المشروع</w:t>
            </w:r>
          </w:p>
        </w:tc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تعزيز مرونة قطاع المياه والزراعة في ظل تغير المناخ</w:t>
            </w:r>
          </w:p>
        </w:tc>
      </w:tr>
      <w:tr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الدولة</w:t>
            </w:r>
          </w:p>
        </w:tc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الجمهورية العراقية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الجهة الوطنية NDA</w:t>
            </w:r>
          </w:p>
        </w:tc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وزارة البيئة</w:t>
            </w:r>
          </w:p>
        </w:tc>
      </w:tr>
      <w:tr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الكيان المعتمد</w:t>
            </w:r>
          </w:p>
        </w:tc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UNDP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حجم المشروع</w:t>
            </w:r>
          </w:p>
        </w:tc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متوسط (10-50 مليون $)</w:t>
            </w:r>
          </w:p>
        </w:tc>
      </w:tr>
      <w:tr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مجال النتائج</w:t>
            </w:r>
          </w:p>
        </w:tc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تكيف - توافر المياه وتأمين الأمن الغذائي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مدة التنفيذ</w:t>
            </w:r>
          </w:p>
        </w:tc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6 سنوات</w:t>
            </w:r>
          </w:p>
        </w:tc>
      </w:tr>
      <w:tr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المستفيدون</w:t>
            </w:r>
          </w:p>
        </w:tc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1.2 مليون مزارع في محافظات ذي قار وميسان والمثنى</w:t>
            </w:r>
          </w:p>
        </w:tc>
      </w:tr>
    </w:tbl>
    <w:p>
      <w:pPr>
        <w:bidi/>
        <w:spacing w:before="80" w:after="80"/>
        <w:jc w:val="right"/>
      </w:pP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القسم (ب): السياق والمشكلة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ب.1  سياق الهشاشة المناخية</w:t>
      </w:r>
    </w:p>
    <w:p>
      <w:pPr>
        <w:bidi/>
        <w:spacing w:before="0" w:after="160"/>
        <w:jc w:val="right"/>
      </w:pPr>
      <w:r>
        <w:rPr>
          <w:rFonts w:ascii="Simplified Arabic" w:hAnsi="Simplified Arabic"/>
          <w:b w:val="0"/>
          <w:color w:val="262626"/>
          <w:sz w:val="26"/>
        </w:rPr>
        <w:t>يواجه العراق ضغطاً متصاعداً على موارد المياه جراء ارتفاع درجات الحرارة وانخفاض هطول الأمطار وتراجع منسوب نهري دجلة والفرات. القطاع الزراعي يستهلك 85% من المياه ويضم أكثر من 25% من سكان العراق.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ب.2  العوائق الرئيسية</w:t>
      </w:r>
    </w:p>
    <w:p>
      <w:pPr>
        <w:bidi/>
        <w:spacing w:after="8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ضعف كفاءة الري التقليدي (20-30% فقط)</w:t>
      </w:r>
    </w:p>
    <w:p>
      <w:pPr>
        <w:bidi/>
        <w:spacing w:after="8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غياب منظومة بيانات هيدرولوجية متكاملة</w:t>
      </w:r>
    </w:p>
    <w:p>
      <w:pPr>
        <w:bidi/>
        <w:spacing w:after="8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محدودية التمويل لتحديث البنية التحتية المائية</w:t>
      </w:r>
    </w:p>
    <w:p>
      <w:pPr>
        <w:bidi/>
        <w:spacing w:after="8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ضعف قدرات المزارعين على التكيف مع شح المياه</w:t>
      </w:r>
    </w:p>
    <w:p>
      <w:pPr>
        <w:bidi/>
        <w:spacing w:after="8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غياب التأمين الزراعي المرتبط بالمناخ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ب.3  نظرية التغيير</w:t>
      </w:r>
    </w:p>
    <w:p>
      <w:pPr>
        <w:bidi/>
        <w:spacing w:before="0" w:after="160"/>
        <w:jc w:val="right"/>
      </w:pPr>
      <w:r>
        <w:rPr>
          <w:rFonts w:ascii="Simplified Arabic" w:hAnsi="Simplified Arabic"/>
          <w:b w:val="0"/>
          <w:color w:val="262626"/>
          <w:sz w:val="26"/>
        </w:rPr>
        <w:t>من خلال نشر تقنيات الري الحديث وبناء قدرات 50,000 مزارع وتطوير منظومة إنذار مبكر بالجفاف، سيرتفع إنتاج الغذاء بنسبة 30% مع خفض استهلاك المياه 40% بحلول 2030.</w:t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القسم (ج): المكوّنات والمخرجات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ج.1  مكوّنات المشروع والميزانية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المكوّن</w:t>
            </w:r>
          </w:p>
        </w:tc>
        <w:tc>
          <w:tcPr>
            <w:tcW w:type="dxa" w:w="1984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التكلفة (مليون $)</w:t>
            </w:r>
          </w:p>
        </w:tc>
        <w:tc>
          <w:tcPr>
            <w:tcW w:type="dxa" w:w="1701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المحور</w:t>
            </w:r>
          </w:p>
        </w:tc>
      </w:tr>
      <w:tr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تقنيات الري الحديث والبنية التحتية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6"/>
              </w:rPr>
              <w:t>18.0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تكيف</w:t>
            </w:r>
          </w:p>
        </w:tc>
      </w:tr>
      <w:tr>
        <w:tc>
          <w:tcPr>
            <w:tcW w:type="dxa" w:w="3213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منظومة البيانات والرصد الهيدرولوجي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6"/>
              </w:rPr>
              <w:t>6.0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تكيف</w:t>
            </w:r>
          </w:p>
        </w:tc>
      </w:tr>
      <w:tr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بناء القدرات والتدريب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6"/>
              </w:rPr>
              <w:t>5.0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تمكيني</w:t>
            </w:r>
          </w:p>
        </w:tc>
      </w:tr>
      <w:tr>
        <w:tc>
          <w:tcPr>
            <w:tcW w:type="dxa" w:w="3213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التأمين الزراعي المرتبط بالمناخ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6"/>
              </w:rPr>
              <w:t>3.0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تكيف</w:t>
            </w:r>
          </w:p>
        </w:tc>
      </w:tr>
      <w:tr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إدارة المشروع والمتابعة والتقييم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6"/>
              </w:rPr>
              <w:t>3.0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إداري</w:t>
            </w:r>
          </w:p>
        </w:tc>
      </w:tr>
    </w:tbl>
    <w:p>
      <w:pPr>
        <w:bidi/>
        <w:spacing w:before="80" w:after="80"/>
        <w:jc w:val="right"/>
      </w:pP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ج.2  المخرجات المتوقعة</w:t>
      </w:r>
    </w:p>
    <w:p>
      <w:pPr>
        <w:bidi/>
        <w:spacing w:after="8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تأهيل 150,000 هكتار بأنظمة ري حديثة</w:t>
      </w:r>
    </w:p>
    <w:p>
      <w:pPr>
        <w:bidi/>
        <w:spacing w:after="8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إنشاء 12 محطة رصد هيدرولوجي</w:t>
      </w:r>
    </w:p>
    <w:p>
      <w:pPr>
        <w:bidi/>
        <w:spacing w:after="8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تدريب 500 مهندس زراعي ومسؤول محلي</w:t>
      </w:r>
    </w:p>
    <w:p>
      <w:pPr>
        <w:bidi/>
        <w:spacing w:after="8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إطلاق منظومة إنذار مبكر بالجفاف في 6 محافظات</w:t>
      </w:r>
    </w:p>
    <w:p>
      <w:pPr>
        <w:bidi/>
        <w:spacing w:after="8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توفير تأمين زراعي مناخي لـ 20,000 مزارع</w:t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القسم (د): مؤشرات الأداء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535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المؤشر</w:t>
            </w:r>
          </w:p>
        </w:tc>
        <w:tc>
          <w:tcPr>
            <w:tcW w:type="dxa" w:w="1984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الخط الأساس</w:t>
            </w:r>
          </w:p>
        </w:tc>
        <w:tc>
          <w:tcPr>
            <w:tcW w:type="dxa" w:w="2268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الهدف</w:t>
            </w:r>
          </w:p>
        </w:tc>
      </w:tr>
      <w:tr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مساحة الأراضي المروية بكفاءة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0 هكتار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378644"/>
                <w:sz w:val="24"/>
              </w:rPr>
              <w:t>150,000 هكتار</w:t>
            </w:r>
          </w:p>
        </w:tc>
      </w:tr>
      <w:tr>
        <w:tc>
          <w:tcPr>
            <w:tcW w:type="dxa" w:w="3213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خفض استهلاك المياه الزراعية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0%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378644"/>
                <w:sz w:val="24"/>
              </w:rPr>
              <w:t>40%</w:t>
            </w:r>
          </w:p>
        </w:tc>
      </w:tr>
      <w:tr>
        <w:tc>
          <w:tcPr>
            <w:tcW w:type="dxa" w:w="3213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عدد المستفيدين المباشرين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0</w:t>
            </w:r>
          </w:p>
        </w:tc>
        <w:tc>
          <w:tcPr>
            <w:tcW w:type="dxa" w:w="3213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378644"/>
                <w:sz w:val="24"/>
              </w:rPr>
              <w:t>200,000 شخص</w:t>
            </w:r>
          </w:p>
        </w:tc>
      </w:tr>
      <w:tr>
        <w:tc>
          <w:tcPr>
            <w:tcW w:type="dxa" w:w="3213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ارتفاع الإنتاج الزراعي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0%</w:t>
            </w:r>
          </w:p>
        </w:tc>
        <w:tc>
          <w:tcPr>
            <w:tcW w:type="dxa" w:w="3213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378644"/>
                <w:sz w:val="24"/>
              </w:rPr>
              <w:t>30%</w:t>
            </w:r>
          </w:p>
        </w:tc>
      </w:tr>
    </w:tbl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القسم (هـ): متطلبات صندوق المناخ الأخضر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التحوّل النموذجي</w:t>
            </w:r>
          </w:p>
        </w:tc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تحويل قطاع الزراعة من الاعتماد على الري التقليدي إلى نظام مائي ذكي مُدار بالبيانات، مع تضمين الاعتبارات المناخية في السياسة المائية الوطنية.</w:t>
            </w:r>
          </w:p>
        </w:tc>
      </w:tr>
      <w:tr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ملكية الدولة</w:t>
            </w:r>
          </w:p>
        </w:tc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يستند إلى NDC العراق وخطة NAP الوطنية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اعتبارات النوع</w:t>
            </w:r>
          </w:p>
        </w:tc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سيُدمج تحليل النوع الاجتماعي بهدف 40% مشاركة للمرأة</w:t>
            </w:r>
          </w:p>
        </w:tc>
      </w:tr>
      <w:tr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الضمانات البيئية</w:t>
            </w:r>
          </w:p>
        </w:tc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يُطبَّق إطار الضمانات البيئية والاجتماعية لـ GCF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إطار المتابعة</w:t>
            </w:r>
          </w:p>
        </w:tc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نظام MRV مرتبط بمنظومة الشفافية الوطنية</w:t>
            </w:r>
          </w:p>
        </w:tc>
      </w:tr>
    </w:tbl>
    <w:p>
      <w:pPr>
        <w:bidi/>
        <w:spacing w:before="80" w:after="80"/>
        <w:jc w:val="right"/>
      </w:pPr>
    </w:p>
    <w:sectPr w:rsidR="00FC693F" w:rsidRPr="0006063C" w:rsidSect="00034616">
      <w:footerReference w:type="default" r:id="rId9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Footer"/>
      <w:jc w:val="right"/>
    </w:pPr>
    <w:r>
      <w:rPr>
        <w:rFonts w:ascii="Simplified Arabic" w:hAnsi="Simplified Arabic"/>
        <w:b w:val="0"/>
        <w:color w:val="707070"/>
        <w:sz w:val="20"/>
      </w:rPr>
      <w:t>وثيقة مفهوم GCF - الجمهورية العراقية  |  09/05/2026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plified Arabic" w:hAnsi="Simplified Arabic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