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32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4"/>
              </w:rPr>
              <w:t>الخطة الوطنية للتكيف مع تغير المناخ</w:t>
            </w:r>
          </w:p>
          <w:p>
            <w:pPr>
              <w:bidi/>
              <w:spacing w:after="320"/>
              <w:jc w:val="center"/>
            </w:pPr>
            <w:r>
              <w:rPr>
                <w:rFonts w:ascii="Simplified Arabic" w:hAnsi="Simplified Arabic"/>
                <w:b w:val="0"/>
                <w:color w:val="FFFFFF"/>
                <w:sz w:val="30"/>
              </w:rPr>
              <w:t>الجمهورية العراقية | 2025-2035</w:t>
            </w:r>
          </w:p>
        </w:tc>
      </w:tr>
    </w:tbl>
    <w:p>
      <w:pPr>
        <w:bidi/>
        <w:spacing w:before="16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الجهة القائدة: وزارة البيئة  |  09/05/2026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الملخص التنفيذي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عدد القطاعات المشمولة</w:t>
            </w:r>
          </w:p>
        </w:tc>
        <w:tc>
          <w:tcPr>
            <w:tcW w:type="dxa" w:w="3213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إجمالي الميزانية</w:t>
            </w:r>
          </w:p>
        </w:tc>
        <w:tc>
          <w:tcPr>
            <w:tcW w:type="dxa" w:w="3213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الفترة الزمنية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2E75B6"/>
                <w:sz w:val="32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32"/>
              </w:rPr>
              <w:t>$2.8 مليار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37864B"/>
                <w:sz w:val="32"/>
              </w:rPr>
              <w:t>2025-2035</w:t>
            </w:r>
          </w:p>
        </w:tc>
      </w:tr>
    </w:tbl>
    <w:p>
      <w:pPr>
        <w:bidi/>
        <w:spacing w:before="160" w:after="80"/>
        <w:jc w:val="righ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1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(1): توزيع ميزانية NAP حسب القطاع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065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6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(2): مصادر تمويل NAP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خطط التكيف القطاعية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1. قطاع المياه والري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درجة الهشاشة</w:t>
            </w:r>
          </w:p>
        </w:tc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بالغة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الميزانية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$1,770M</w:t>
            </w:r>
          </w:p>
        </w:tc>
      </w:tr>
    </w:tbl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المخاطر المناخية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تراجع تدفق دجلة والفرات 30-60% بحلول 2050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ارتفاع ملوحة المياه في المحافظات الجنوبية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شحّ المياه الجوفية في وسط وغرب العراق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تكرار موجات الجفاف الشديد</w:t>
      </w:r>
    </w:p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إجراءات التكيف: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الإجراء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التكلفة (م$)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الموعد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الجهة المسؤولة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تطوير منظومة الري الحديث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850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2025-2028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الموارد المائية</w:t>
            </w:r>
          </w:p>
        </w:tc>
      </w:tr>
      <w:tr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بناء خزانات مياه استراتيجية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600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2026-2030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الموارد المائية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معالجة وإعادة استخدام المياه العادمة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320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2025-2029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البلديات</w:t>
            </w:r>
          </w:p>
        </w:tc>
      </w:tr>
    </w:tbl>
    <w:p>
      <w:pPr>
        <w:bidi/>
        <w:spacing w:after="2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مؤشر 2030: </w:t>
      </w:r>
      <w:r>
        <w:rPr>
          <w:rFonts w:ascii="Simplified Arabic" w:hAnsi="Simplified Arabic"/>
          <w:b w:val="0"/>
          <w:color w:val="262626"/>
          <w:sz w:val="26"/>
        </w:rPr>
        <w:t>رفع كفاءة استخدام المياه من 30% إلى 60%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2. قطاع الزراعة والأمن الغذائي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درجة الهشاشة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عالية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الميزانية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$400M</w:t>
            </w:r>
          </w:p>
        </w:tc>
      </w:tr>
    </w:tbl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المخاطر المناخية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تراجع إنتاجية القمح والشعير 20-40%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تزايد ظاهرة التصحر وتدهور التربة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فقدان التنوع البيولوجي الزراعي</w:t>
      </w:r>
    </w:p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إجراءات التكيف: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الإجراء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التكلفة (م$)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الموعد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الجهة المسؤولة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تطوير أصناف نباتية مقاومة للجفاف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120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2025-2027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الزراعة</w:t>
            </w:r>
          </w:p>
        </w:tc>
      </w:tr>
      <w:tr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توسيع الزراعة المحمية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200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2025-2030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الزراعة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منظومة تأمين زراعي مناخي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80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2026-2028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المالية</w:t>
            </w:r>
          </w:p>
        </w:tc>
      </w:tr>
    </w:tbl>
    <w:p>
      <w:pPr>
        <w:bidi/>
        <w:spacing w:after="2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مؤشر 2030: </w:t>
      </w:r>
      <w:r>
        <w:rPr>
          <w:rFonts w:ascii="Simplified Arabic" w:hAnsi="Simplified Arabic"/>
          <w:b w:val="0"/>
          <w:color w:val="262626"/>
          <w:sz w:val="26"/>
        </w:rPr>
        <w:t>تحقيق 50% اكتفاء ذاتي من القمح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3. قطاع الصحة العامة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درجة الهشاشة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عالية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الميزانية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$525M</w:t>
            </w:r>
          </w:p>
        </w:tc>
      </w:tr>
    </w:tbl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المخاطر المناخية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موجات حرارة تتجاوز 50 درجة مئوية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انتشار الأمراض المنقولة بالمياه والحشرات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تدهور جودة الهواء بفعل العواصف الترابية</w:t>
      </w:r>
    </w:p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إجراءات التكيف: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الإجراء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التكلفة (م$)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الموعد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الجهة المسؤولة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نظام إنذار مبكر بموجات الحرارة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25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2025-2026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الصحة</w:t>
            </w:r>
          </w:p>
        </w:tc>
      </w:tr>
      <w:tr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تحسين منظومة الصرف الصحي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350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2025-2030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البلديات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مراكز إيواء مُكيَّفة في المدن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150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2025-2028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البلديات</w:t>
            </w:r>
          </w:p>
        </w:tc>
      </w:tr>
    </w:tbl>
    <w:p>
      <w:pPr>
        <w:bidi/>
        <w:spacing w:after="2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مؤشر 2030: </w:t>
      </w:r>
      <w:r>
        <w:rPr>
          <w:rFonts w:ascii="Simplified Arabic" w:hAnsi="Simplified Arabic"/>
          <w:b w:val="0"/>
          <w:color w:val="262626"/>
          <w:sz w:val="26"/>
        </w:rPr>
        <w:t>خفض الوفيات المرتبطة بالحرارة 30%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4. قطاع الطاقة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درجة الهشاشة</w:t>
            </w:r>
          </w:p>
        </w:tc>
        <w:tc>
          <w:tcPr>
            <w:tcW w:type="dxa" w:w="240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متوسطة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الميزانية</w:t>
            </w:r>
          </w:p>
        </w:tc>
        <w:tc>
          <w:tcPr>
            <w:tcW w:type="dxa" w:w="2409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$2,180M</w:t>
            </w:r>
          </w:p>
        </w:tc>
      </w:tr>
    </w:tbl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المخاطر المناخية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انخفاض كفاءة محطات الطاقة في الحرارة الشديدة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⚠  ارتفاع الطلب على التبريد صيفاً بنسبة 40%</w:t>
      </w:r>
    </w:p>
    <w:p>
      <w:pPr>
        <w:bidi/>
        <w:spacing w:before="12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إجراءات التكيف: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الإجراء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التكلفة (م$)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الموعد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الجهة المسؤولة</w:t>
            </w:r>
          </w:p>
        </w:tc>
      </w:tr>
      <w:tr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تنويع مصادر الطاقة نحو الشمسية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2000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2025-2030</w:t>
            </w:r>
          </w:p>
        </w:tc>
        <w:tc>
          <w:tcPr>
            <w:tcW w:type="dxa" w:w="240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الكهرباء</w:t>
            </w:r>
          </w:p>
        </w:tc>
      </w:tr>
      <w:tr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تحسين كفاءة الطاقة في المباني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180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color w:val="262626"/>
                <w:sz w:val="22"/>
              </w:rPr>
              <w:t>2025-2028</w:t>
            </w:r>
          </w:p>
        </w:tc>
        <w:tc>
          <w:tcPr>
            <w:tcW w:type="dxa" w:w="2409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707070"/>
                <w:sz w:val="22"/>
              </w:rPr>
              <w:t>وزارة التخطيط</w:t>
            </w:r>
          </w:p>
        </w:tc>
      </w:tr>
    </w:tbl>
    <w:p>
      <w:pPr>
        <w:bidi/>
        <w:spacing w:after="2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مؤشر 2030: </w:t>
      </w:r>
      <w:r>
        <w:rPr>
          <w:rFonts w:ascii="Simplified Arabic" w:hAnsi="Simplified Arabic"/>
          <w:b w:val="0"/>
          <w:color w:val="262626"/>
          <w:sz w:val="26"/>
        </w:rPr>
        <w:t>12% طاقة متجددة في مزيج الكهرباء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إطار المتابعة والتقييم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دورة الإبلاغ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سنوي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الربط مع BTR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نعم - يُدرَج في تقارير الشفافية السنوية</w:t>
            </w:r>
          </w:p>
        </w:tc>
      </w:tr>
      <w:tr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الربط مع NDC</w:t>
            </w:r>
          </w:p>
        </w:tc>
        <w:tc>
          <w:tcPr>
            <w:tcW w:type="dxa" w:w="4819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نعم - مؤشرات NAP تُغذّي أهداف NDC</w:t>
            </w:r>
          </w:p>
        </w:tc>
      </w:tr>
      <w:tr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color w:val="1F497D"/>
                <w:sz w:val="24"/>
              </w:rPr>
              <w:t>SDGs المرتبطة</w:t>
            </w:r>
          </w:p>
        </w:tc>
        <w:tc>
          <w:tcPr>
            <w:tcW w:type="dxa" w:w="4819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color w:val="262626"/>
                <w:sz w:val="24"/>
              </w:rPr>
              <w:t>SDG6  |  SDG2  |  SDG3  |  SDG13  |  SDG15</w:t>
            </w:r>
          </w:p>
        </w:tc>
      </w:tr>
    </w:tbl>
    <w:sectPr w:rsidR="00FC693F" w:rsidRPr="0006063C" w:rsidSect="00034616">
      <w:footerReference w:type="default" r:id="rId11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الخطة الوطنية للتكيف مع تغير المناخ - الجمهورية العراقية  |  09/05/2026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