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97D" w:val="clear"/>
          </w:tcPr>
          <w:p>
            <w:pPr>
              <w:bidi/>
              <w:spacing w:before="320" w:after="120"/>
              <w:jc w:val="center"/>
            </w:pPr>
            <w:r>
              <w:rPr>
                <w:rFonts w:ascii="Simplified Arabic" w:hAnsi="Simplified Arabic"/>
                <w:b/>
                <w:color w:val="FFFFFF"/>
                <w:sz w:val="44"/>
              </w:rPr>
              <w:t>تقرير تقييم المساهمة الوطنية المحددة</w:t>
            </w:r>
          </w:p>
          <w:p>
            <w:pPr>
              <w:bidi/>
              <w:spacing w:after="320"/>
              <w:jc w:val="center"/>
            </w:pPr>
            <w:r>
              <w:rPr>
                <w:rFonts w:ascii="Simplified Arabic" w:hAnsi="Simplified Arabic"/>
                <w:b w:val="0"/>
                <w:color w:val="FFFFFF"/>
                <w:sz w:val="30"/>
              </w:rPr>
              <w:t>NDC Navigator - العراق | NDC المحدّثة 2021</w:t>
            </w:r>
          </w:p>
        </w:tc>
      </w:tr>
    </w:tbl>
    <w:p>
      <w:pPr>
        <w:bidi/>
        <w:spacing w:before="160" w:after="80"/>
        <w:jc w:val="right"/>
      </w:pPr>
      <w:r>
        <w:rPr>
          <w:rFonts w:ascii="Simplified Arabic" w:hAnsi="Simplified Arabic"/>
          <w:b w:val="0"/>
          <w:color w:val="707070"/>
          <w:sz w:val="24"/>
        </w:rPr>
        <w:t>تاريخ التقييم: 09/05/2026  |  المرجع: NDC 3.0 Navigator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أولاً: ملخص نتائج التقييم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المتوسط الكلي</w:t>
            </w:r>
          </w:p>
        </w:tc>
        <w:tc>
          <w:tcPr>
            <w:tcW w:type="dxa" w:w="3213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مسارات عالية الأولوية</w:t>
            </w:r>
          </w:p>
        </w:tc>
        <w:tc>
          <w:tcPr>
            <w:tcW w:type="dxa" w:w="3213"/>
            <w:shd w:fill="7030A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4"/>
              </w:rPr>
              <w:t>مسارات غائبة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6"/>
              </w:rPr>
              <w:t>2.0/5.0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6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7030A0"/>
                <w:sz w:val="36"/>
              </w:rPr>
              <w:t>2</w:t>
            </w:r>
          </w:p>
        </w:tc>
      </w:tr>
    </w:tbl>
    <w:p>
      <w:pPr>
        <w:bidi/>
        <w:spacing w:before="160" w:after="80"/>
        <w:jc w:val="righ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585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8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(1): مخطط الرادار - مستوى الأداء على المسارات السبعة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24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40" w:after="160"/>
        <w:jc w:val="center"/>
      </w:pPr>
      <w:r>
        <w:rPr>
          <w:rFonts w:ascii="Simplified Arabic" w:hAnsi="Simplified Arabic"/>
          <w:b w:val="0"/>
          <w:color w:val="707070"/>
          <w:sz w:val="22"/>
        </w:rPr>
        <w:t>شكل (2): الدرجات التفصيلية على كل مسار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ثانياً: التقييم التفصيلي لكل مسار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R1: التوافق مع هدف درجة الحرارة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2409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2"/>
              </w:rPr>
              <w:t>2/5</w:t>
            </w:r>
          </w:p>
        </w:tc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يحتاج تطوير</w:t>
            </w:r>
          </w:p>
        </w:tc>
      </w:tr>
    </w:tbl>
    <w:p>
      <w:pPr>
        <w:bidi/>
        <w:spacing w:before="80" w:after="40"/>
        <w:jc w:val="right"/>
      </w:pP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color w:val="707070"/>
          <w:sz w:val="24"/>
        </w:rPr>
        <w:t>رفع هدف التخفيف ليتوافق مع مسار 1.5 أو 2 درجة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الفجوات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الهدف غير المشروط 2.5% منخفض جداً مقارنة بالمعايير الدولية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الهدف المشروط 15% غير مرتبط بمسار درجة الحرارة العالمي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لا يوجد هدف مطلق واضح - الهدف نسبي فقط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التوصيات: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رفع الهدف غير المشروط إلى 5% على الأقل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تحديد هدف مطلق إضافي بجانب الهدف النسبي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ربط الهدف المشروط بمسار 1.5 درجة في NDC 3.0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C00000"/>
          <w:sz w:val="24"/>
        </w:rPr>
        <w:t>الأولوية: عالية  |  الموعد المقترح: NDC 3.0 - 2025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R2: الهدف العالمي للتكيف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2409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2"/>
              </w:rPr>
              <w:t>2/5</w:t>
            </w:r>
          </w:p>
        </w:tc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يحتاج تطوير</w:t>
            </w:r>
          </w:p>
        </w:tc>
      </w:tr>
    </w:tbl>
    <w:p>
      <w:pPr>
        <w:bidi/>
        <w:spacing w:before="80" w:after="40"/>
        <w:jc w:val="right"/>
      </w:pP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color w:val="707070"/>
          <w:sz w:val="24"/>
        </w:rPr>
        <w:t>تضمين إجراءات تكيف ملموسة وقابلة للقياس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الفجوات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خطة التكيف الوطنية NAP لم تُستكمل بعد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غياب مؤشرات قابلة للقياس للتكيف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عدم تحديد تكاليف التكيف بشكل واضح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التوصيات: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استكمال NAP وإدراج مؤشراتها في NDC 3.0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تحديد مؤشرات SMART لكل قطاع هش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ربط الهدف بالخسائر والأضرار المناخية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C00000"/>
          <w:sz w:val="24"/>
        </w:rPr>
        <w:t>الأولوية: عالية  |  الموعد المقترح: 2025-2026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R3: التحول العادل والمنصف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2409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2"/>
              </w:rPr>
              <w:t>1/5</w:t>
            </w:r>
          </w:p>
        </w:tc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غائب</w:t>
            </w:r>
          </w:p>
        </w:tc>
      </w:tr>
    </w:tbl>
    <w:p>
      <w:pPr>
        <w:bidi/>
        <w:spacing w:before="80" w:after="40"/>
        <w:jc w:val="right"/>
      </w:pP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color w:val="707070"/>
          <w:sz w:val="24"/>
        </w:rPr>
        <w:t>ضمان أن التحول المناخي لا يُلقي عبئاً على الفئات الهشة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الفجوات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لا تُعالج NDC أثر التحول على عمالة قطاع النفط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غياب اعتبارات النوع الاجتماعي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لا تُذكر احتياجات المجتمعات الريفية الهشة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التوصيات: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إعداد دراسة أثر اجتماعي للتحول نحو الطاقة النظيفة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إدراج بُعد النوع الاجتماعي في أهداف NDC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وضع برامج إعادة تأهيل لعمال قطاع الوقود الأحفوري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BF8F00"/>
          <w:sz w:val="24"/>
        </w:rPr>
        <w:t>الأولوية: متوسطة  |  الموعد المقترح: 2026-2027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R4: النهج الحكومي والمجتمعي الشامل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2409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2"/>
              </w:rPr>
              <w:t>3/5</w:t>
            </w:r>
          </w:p>
        </w:tc>
        <w:tc>
          <w:tcPr>
            <w:tcW w:type="dxa" w:w="2409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2409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جزئي</w:t>
            </w:r>
          </w:p>
        </w:tc>
      </w:tr>
    </w:tbl>
    <w:p>
      <w:pPr>
        <w:bidi/>
        <w:spacing w:before="80" w:after="40"/>
        <w:jc w:val="right"/>
      </w:pP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color w:val="707070"/>
          <w:sz w:val="24"/>
        </w:rPr>
        <w:t>إشراك كافة الوزارات والقطاع الخاص والمجتمع المدني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الفجوات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ضعف التنسيق بين وزارة البيئة وباقي الوزارات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محدودية مشاركة القطاع الخاص في صياغة الأهداف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التوصيات: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تفعيل دور اللجنة الوطنية للتغير المناخي كجهة تنسيق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إشراك اتحادات القطاع الخاص في مراجعة NDC 3.0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إجراء مشاورات مجتمعية موثّقة قبل رفع NDC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BF8F00"/>
          <w:sz w:val="24"/>
        </w:rPr>
        <w:t>الأولوية: متوسطة  |  الموعد المقترح: 2025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R5: التكنولوجيا وبناء القدرات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2409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2"/>
              </w:rPr>
              <w:t>2/5</w:t>
            </w:r>
          </w:p>
        </w:tc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2409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يحتاج تطوير</w:t>
            </w:r>
          </w:p>
        </w:tc>
      </w:tr>
    </w:tbl>
    <w:p>
      <w:pPr>
        <w:bidi/>
        <w:spacing w:before="80" w:after="40"/>
        <w:jc w:val="right"/>
      </w:pP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color w:val="707070"/>
          <w:sz w:val="24"/>
        </w:rPr>
        <w:t>تحديد الاحتياجات التكنولوجية وربطها بمصادر الدعم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الفجوات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تقييم الاحتياجات التكنولوجية TNA لم يُحدَّث منذ 2019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ضعف الربط بين احتياجات التكنولوجيا ومصادر التمويل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التوصيات: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تحديث TNA لعام 2024 بدعم GEF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ربط الاحتياجات التكنولوجية بخطط GCF وGEF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بناء برامج تدريب مستدامة للكوادر الوطنية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C00000"/>
          <w:sz w:val="24"/>
        </w:rPr>
        <w:t>الأولوية: عالية  |  الموعد المقترح: 2025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R6: التمويل والسياسة المالية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2409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2"/>
              </w:rPr>
              <w:t>1/5</w:t>
            </w:r>
          </w:p>
        </w:tc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غائب</w:t>
            </w:r>
          </w:p>
        </w:tc>
      </w:tr>
    </w:tbl>
    <w:p>
      <w:pPr>
        <w:bidi/>
        <w:spacing w:before="80" w:after="40"/>
        <w:jc w:val="right"/>
      </w:pP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color w:val="707070"/>
          <w:sz w:val="24"/>
        </w:rPr>
        <w:t>تحديد التكاليف ومصادر التمويل المحلي والدولي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الفجوات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لا يوجد تقدير تكاليف شامل مُرفق بـ NDC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غياب نظام تتبع الإنفاق المناخي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عدم وضوح الالتزامات المالية المحلية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التوصيات: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إعداد تقدير تكاليف NDC بالتنسيق مع وزارة المالية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تطوير نظام تتبع الإنفاق المناخي في الميزانية الوطنية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تحديد حصة التمويل المحلي مقابل الدولي بوضوح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C00000"/>
          <w:sz w:val="24"/>
        </w:rPr>
        <w:t>الأولوية: عالية  |  الموعد المقترح: قبل COP30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color w:val="2E75B6"/>
          <w:sz w:val="30"/>
        </w:rPr>
        <w:t>R7: الشفافية والتوثيق التقني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C000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2409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C00000"/>
                <w:sz w:val="32"/>
              </w:rPr>
              <w:t>3/5</w:t>
            </w:r>
          </w:p>
        </w:tc>
        <w:tc>
          <w:tcPr>
            <w:tcW w:type="dxa" w:w="2409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2409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color w:val="FFFFFF"/>
                <w:sz w:val="26"/>
              </w:rPr>
              <w:t>جزئي</w:t>
            </w:r>
          </w:p>
        </w:tc>
      </w:tr>
    </w:tbl>
    <w:p>
      <w:pPr>
        <w:bidi/>
        <w:spacing w:before="80" w:after="40"/>
        <w:jc w:val="right"/>
      </w:pPr>
    </w:p>
    <w:p>
      <w:pPr>
        <w:bidi/>
        <w:spacing w:before="0" w:after="120"/>
        <w:jc w:val="right"/>
      </w:pPr>
      <w:r>
        <w:rPr>
          <w:rFonts w:ascii="Simplified Arabic" w:hAnsi="Simplified Arabic"/>
          <w:b w:val="0"/>
          <w:color w:val="707070"/>
          <w:sz w:val="24"/>
        </w:rPr>
        <w:t>ضمان جودة البيانات وشفافية المنهجية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C00000"/>
          <w:sz w:val="26"/>
        </w:rPr>
        <w:t>الفجوات الرئيسية: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الجرد الوطني يحتاج تحديثاً إلى سنة 2022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✗  نظام MRV لا يزال في طور البناء</w:t>
      </w:r>
    </w:p>
    <w:p>
      <w:pPr>
        <w:bidi/>
        <w:spacing w:before="80" w:after="40"/>
        <w:jc w:val="right"/>
      </w:pPr>
      <w:r>
        <w:rPr>
          <w:rFonts w:ascii="Simplified Arabic" w:hAnsi="Simplified Arabic"/>
          <w:b/>
          <w:color w:val="378644"/>
          <w:sz w:val="26"/>
        </w:rPr>
        <w:t>التوصيات: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تحديث الجرد الوطني سنوياً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استكمال منظومة MRV بدعم GEF-7</w:t>
      </w:r>
    </w:p>
    <w:p>
      <w:pPr>
        <w:bidi/>
        <w:spacing w:after="60"/>
        <w:jc w:val="right"/>
      </w:pPr>
      <w:r>
        <w:rPr>
          <w:rFonts w:ascii="Simplified Arabic" w:hAnsi="Simplified Arabic"/>
          <w:b w:val="0"/>
          <w:color w:val="262626"/>
          <w:sz w:val="24"/>
        </w:rPr>
        <w:t>✓  توثيق المنهجيات والافتراضات في BTR2</w:t>
      </w:r>
    </w:p>
    <w:p>
      <w:pPr>
        <w:bidi/>
        <w:spacing w:after="160"/>
        <w:jc w:val="right"/>
      </w:pPr>
      <w:r>
        <w:rPr>
          <w:rFonts w:ascii="Simplified Arabic" w:hAnsi="Simplified Arabic"/>
          <w:b/>
          <w:color w:val="BF8F00"/>
          <w:sz w:val="24"/>
        </w:rPr>
        <w:t>الأولوية: متوسطة  |  الموعد المقترح: 2025-2026</w:t>
      </w:r>
    </w:p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color w:val="1F497D"/>
          <w:sz w:val="36"/>
        </w:rPr>
        <w:t>ثالثاً: الإجراءات ذات الأولوية الفورية</w:t>
      </w:r>
    </w:p>
    <w:p>
      <w:pPr>
        <w:bidi/>
        <w:spacing w:before="0" w:after="160"/>
        <w:jc w:val="right"/>
      </w:pPr>
      <w:r>
        <w:rPr>
          <w:rFonts w:ascii="Simplified Arabic" w:hAnsi="Simplified Arabic"/>
          <w:b w:val="0"/>
          <w:color w:val="262626"/>
          <w:sz w:val="26"/>
        </w:rPr>
        <w:t>بناءً على نتائج التقييم، تُوصى الجهات المعنية باتخاذ الإجراءات التالية قبل تقديم NDC 3.0: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1.  </w:t>
      </w:r>
      <w:r>
        <w:rPr>
          <w:rFonts w:ascii="Simplified Arabic" w:hAnsi="Simplified Arabic"/>
          <w:b w:val="0"/>
          <w:color w:val="262626"/>
          <w:sz w:val="26"/>
        </w:rPr>
        <w:t>رفع هدف NDC المشروط إلى 20% مرتبطاً بتمويل GCF قبل COP30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2.  </w:t>
      </w:r>
      <w:r>
        <w:rPr>
          <w:rFonts w:ascii="Simplified Arabic" w:hAnsi="Simplified Arabic"/>
          <w:b w:val="0"/>
          <w:color w:val="262626"/>
          <w:sz w:val="26"/>
        </w:rPr>
        <w:t>تحديث TNA بدعم GEF وربطه بـ NDC 3.0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3.  </w:t>
      </w:r>
      <w:r>
        <w:rPr>
          <w:rFonts w:ascii="Simplified Arabic" w:hAnsi="Simplified Arabic"/>
          <w:b w:val="0"/>
          <w:color w:val="262626"/>
          <w:sz w:val="26"/>
        </w:rPr>
        <w:t>إعداد تقدير تكاليف NDC الشامل بالتنسيق مع وزارة المالية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4.  </w:t>
      </w:r>
      <w:r>
        <w:rPr>
          <w:rFonts w:ascii="Simplified Arabic" w:hAnsi="Simplified Arabic"/>
          <w:b w:val="0"/>
          <w:color w:val="262626"/>
          <w:sz w:val="26"/>
        </w:rPr>
        <w:t>استكمال NAP وإدراج مؤشراتها القابلة للقياس</w:t>
      </w:r>
    </w:p>
    <w:p>
      <w:pPr>
        <w:bidi/>
        <w:spacing w:after="100"/>
        <w:jc w:val="right"/>
      </w:pPr>
      <w:r>
        <w:rPr>
          <w:rFonts w:ascii="Simplified Arabic" w:hAnsi="Simplified Arabic"/>
          <w:b/>
          <w:color w:val="2E75B6"/>
          <w:sz w:val="26"/>
        </w:rPr>
        <w:t xml:space="preserve">5.  </w:t>
      </w:r>
      <w:r>
        <w:rPr>
          <w:rFonts w:ascii="Simplified Arabic" w:hAnsi="Simplified Arabic"/>
          <w:b w:val="0"/>
          <w:color w:val="262626"/>
          <w:sz w:val="26"/>
        </w:rPr>
        <w:t>إطلاق مشاورات مجتمعية موثّقة لـ NDC 3.0</w:t>
      </w:r>
    </w:p>
    <w:sectPr w:rsidR="00FC693F" w:rsidRPr="0006063C" w:rsidSect="00034616">
      <w:footerReference w:type="default" r:id="rId11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color w:val="707070"/>
        <w:sz w:val="20"/>
      </w:rPr>
      <w:t>تقرير NDC Navigator - العراق  |  09/05/2026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