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36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32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4"/>
              </w:rPr>
              <w:t>تقرير المقارنة الإقليمية لسياسات المناخ</w:t>
            </w:r>
          </w:p>
          <w:p>
            <w:pPr>
              <w:bidi/>
              <w:spacing w:after="320"/>
              <w:jc w:val="center"/>
            </w:pPr>
            <w:r>
              <w:rPr>
                <w:rFonts w:ascii="Simplified Arabic" w:hAnsi="Simplified Arabic"/>
                <w:b w:val="0"/>
                <w:color w:val="FFFFFF"/>
                <w:sz w:val="30"/>
              </w:rPr>
              <w:t>العراق ودول المنطقة - 09/05/2026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جدول المقارنة الشاملة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الدولة</w:t>
            </w:r>
          </w:p>
        </w:tc>
        <w:tc>
          <w:tcPr>
            <w:tcW w:type="dxa" w:w="198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الانبعاثات 2020</w:t>
              <w:br/>
              <w:t>(ألف Gg)</w:t>
            </w:r>
          </w:p>
        </w:tc>
        <w:tc>
          <w:tcPr>
            <w:tcW w:type="dxa" w:w="1701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هدف NDC %</w:t>
            </w:r>
          </w:p>
        </w:tc>
        <w:tc>
          <w:tcPr>
            <w:tcW w:type="dxa" w:w="198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طموح التمويل</w:t>
              <w:br/>
              <w:t>(مليار $)</w:t>
            </w:r>
          </w:p>
        </w:tc>
        <w:tc>
          <w:tcPr>
            <w:tcW w:type="dxa" w:w="1701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نصيب الفرد</w:t>
              <w:br/>
              <w:t>(طن/فرد)</w:t>
            </w:r>
          </w:p>
        </w:tc>
      </w:tr>
      <w:tr>
        <w:tc>
          <w:tcPr>
            <w:tcW w:type="dxa" w:w="1928"/>
            <w:shd w:fill="FFE7E7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العراق</w:t>
            </w:r>
          </w:p>
        </w:tc>
        <w:tc>
          <w:tcPr>
            <w:tcW w:type="dxa" w:w="1928"/>
            <w:shd w:fill="FFE7E7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190.3</w:t>
            </w:r>
          </w:p>
        </w:tc>
        <w:tc>
          <w:tcPr>
            <w:tcW w:type="dxa" w:w="1928"/>
            <w:shd w:fill="FFE7E7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2.5%</w:t>
            </w:r>
          </w:p>
        </w:tc>
        <w:tc>
          <w:tcPr>
            <w:tcW w:type="dxa" w:w="1928"/>
            <w:shd w:fill="FFE7E7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88.0</w:t>
            </w:r>
          </w:p>
        </w:tc>
        <w:tc>
          <w:tcPr>
            <w:tcW w:type="dxa" w:w="1928"/>
            <w:shd w:fill="FFE7E7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4.6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المملكة العربية السعودية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700.1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30.0%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—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19.8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إيران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749.0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4.0%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17.5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8.8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مصر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340.2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33.0%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196.0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3.2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الجزائر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194.0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22.0%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7.0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4.4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الإمارات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256.0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19.0%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—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25.8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الأردن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28.8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14.0%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5.4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2.7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الكويت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98.0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7.4%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—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22.4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الرسوم البيانية المقارنة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(1): مقارنة الانبعاثات الإقليمية 2020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8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(2): مقارنة طموح NDC الإقليمية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1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(3): انبعاثات الفرد مقارنةً إقليمياً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الموقع الإقليمي للعراق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1.  </w:t>
      </w:r>
      <w:r>
        <w:rPr>
          <w:rFonts w:ascii="Simplified Arabic" w:hAnsi="Simplified Arabic"/>
          <w:b w:val="0"/>
          <w:color w:val="262626"/>
          <w:sz w:val="26"/>
        </w:rPr>
        <w:t>يحتل العراق المرتبة 6 إقليمياً من حيث إجمالي الانبعاثات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2.  </w:t>
      </w:r>
      <w:r>
        <w:rPr>
          <w:rFonts w:ascii="Simplified Arabic" w:hAnsi="Simplified Arabic"/>
          <w:b w:val="0"/>
          <w:color w:val="262626"/>
          <w:sz w:val="26"/>
        </w:rPr>
        <w:t>هدف NDC العراقي (2.5%) يُصنَّف ضمن الأدنى إقليمياً - المرتبة 8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3.  </w:t>
      </w:r>
      <w:r>
        <w:rPr>
          <w:rFonts w:ascii="Simplified Arabic" w:hAnsi="Simplified Arabic"/>
          <w:b w:val="0"/>
          <w:color w:val="262626"/>
          <w:sz w:val="26"/>
        </w:rPr>
        <w:t>نصيب الفرد (4.6 طن) أدنى من السعودية والإمارات والكويت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4.  </w:t>
      </w:r>
      <w:r>
        <w:rPr>
          <w:rFonts w:ascii="Simplified Arabic" w:hAnsi="Simplified Arabic"/>
          <w:b w:val="0"/>
          <w:color w:val="262626"/>
          <w:sz w:val="26"/>
        </w:rPr>
        <w:t>العراق يتصدر احتياجات التمويل (88 مليار $) مما يعكس حجم التحدي التنموي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5.  </w:t>
      </w:r>
      <w:r>
        <w:rPr>
          <w:rFonts w:ascii="Simplified Arabic" w:hAnsi="Simplified Arabic"/>
          <w:b w:val="0"/>
          <w:color w:val="262626"/>
          <w:sz w:val="26"/>
        </w:rPr>
        <w:t>رفع هدف NDC إلى 10-15% سيُحسّن الموقع التفاوضي إقليمياً ودولياً</w:t>
      </w:r>
    </w:p>
    <w:sectPr w:rsidR="00FC693F" w:rsidRPr="0006063C" w:rsidSect="00034616">
      <w:footerReference w:type="default" r:id="rId12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تقرير المقارنة الإقليمية - العراق  |  09/05/2026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