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/>
        <w:jc w:val="right"/>
      </w:pPr>
      <w:r>
        <w:rPr>
          <w:rFonts w:ascii="Simplified Arabic" w:hAnsi="Simplified Arabic"/>
          <w:b/>
          <w:color w:val="1F497D"/>
          <w:sz w:val="36"/>
        </w:rPr>
        <w:t>تقرير الجرد الوطني لغازات الاحتباس الحراري</w:t>
      </w:r>
    </w:p>
    <w:p>
      <w:pPr>
        <w:bidi/>
        <w:jc w:val="right"/>
      </w:pPr>
      <w:r>
        <w:rPr>
          <w:rFonts w:ascii="Simplified Arabic" w:hAnsi="Simplified Arabic"/>
          <w:color w:val="707070"/>
          <w:sz w:val="22"/>
        </w:rPr>
        <w:t>السنة المرجعية: 2024    |    القطاع: قطاع الطاقة</w:t>
      </w:r>
    </w:p>
    <w:p/>
    <w:p>
      <w:pPr>
        <w:bidi/>
        <w:jc w:val="right"/>
      </w:pPr>
      <w:r>
        <w:rPr>
          <w:rFonts w:ascii="Simplified Arabic" w:hAnsi="Simplified Arabic"/>
          <w:b/>
          <w:color w:val="1F497D"/>
          <w:sz w:val="28"/>
        </w:rPr>
        <w:t>ملخص الانبعاثات</w:t>
      </w:r>
    </w:p>
    <w:p>
      <w:pPr>
        <w:bidi/>
        <w:jc w:val="right"/>
      </w:pPr>
      <w:r>
        <w:rPr>
          <w:rFonts w:ascii="Simplified Arabic" w:hAnsi="Simplified Arabic"/>
          <w:sz w:val="24"/>
        </w:rPr>
        <w:t>بلغ إجمالي انبعاثات قطاع الطاقة خلال عام 2024 نحو ١٨٥.٤ مليون طن ثاني أكسيد الكربون المكافئ، وهو ما يمثل زيادة بنسبة ٣.٢٪ مقارنة بعام ٢٠٢٣.</w:t>
      </w:r>
    </w:p>
    <w:p/>
    <w:p>
      <w:pPr>
        <w:bidi/>
        <w:jc w:val="right"/>
      </w:pPr>
      <w:r>
        <w:rPr>
          <w:rFonts w:ascii="Simplified Arabic" w:hAnsi="Simplified Arabic"/>
          <w:b/>
          <w:color w:val="1F497D"/>
          <w:sz w:val="28"/>
        </w:rPr>
        <w:t>تفصيل الانبعاثات حسب الفئة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b/>
                <w:color w:val="FFFFFF"/>
                <w:sz w:val="24"/>
              </w:rPr>
              <w:t>الفئة</w:t>
            </w:r>
          </w:p>
        </w:tc>
        <w:tc>
          <w:tcPr>
            <w:tcW w:type="dxa" w:w="3135"/>
            <w:shd w:fill="1F497D" w:val="clear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b/>
                <w:color w:val="FFFFFF"/>
                <w:sz w:val="24"/>
              </w:rPr>
              <w:t>الانبعاثات (مليون طن)</w:t>
            </w:r>
          </w:p>
        </w:tc>
        <w:tc>
          <w:tcPr>
            <w:tcW w:type="dxa" w:w="3135"/>
            <w:shd w:fill="1F497D" w:val="clear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b/>
                <w:color w:val="FFFFFF"/>
                <w:sz w:val="24"/>
              </w:rPr>
              <w:t>النسبة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احتراق الوقود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١٤٢.٣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٧٦.٨٪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العمليات الصناعية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٢٨.١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١٥.٢٪</w:t>
            </w:r>
          </w:p>
        </w:tc>
      </w:tr>
      <w:tr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التسرب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١٥.٠</w:t>
            </w:r>
          </w:p>
        </w:tc>
        <w:tc>
          <w:tcPr>
            <w:tcW w:type="dxa" w:w="3135"/>
          </w:tcPr>
          <w:p>
            <w:pPr>
              <w:bidi/>
              <w:jc w:val="right"/>
            </w:pPr>
            <w:r>
              <w:rPr>
                <w:rFonts w:ascii="Simplified Arabic" w:hAnsi="Simplified Arabic"/>
                <w:sz w:val="24"/>
              </w:rPr>
              <w:t>٨.١٪</w:t>
            </w:r>
          </w:p>
        </w:tc>
      </w:tr>
    </w:tbl>
    <w:p/>
    <w:p>
      <w:pPr>
        <w:bidi/>
        <w:jc w:val="right"/>
      </w:pPr>
      <w:r>
        <w:rPr>
          <w:rFonts w:ascii="Simplified Arabic" w:hAnsi="Simplified Arabic"/>
          <w:i/>
          <w:color w:val="707070"/>
          <w:sz w:val="20"/>
        </w:rPr>
        <w:t>أعده: قسم سياسات المناخ    |    التاريخ: مايو ٢٠٢٥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