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8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97D" w:val="clear"/>
          </w:tcPr>
          <w:p>
            <w:pPr>
              <w:bidi/>
              <w:spacing w:before="320" w:after="12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48"/>
              </w:rPr>
              <w:t>لوحة تحكم سياسات المناخ</w:t>
            </w:r>
          </w:p>
          <w:p>
            <w:pPr>
              <w:bidi/>
              <w:spacing w:after="320"/>
              <w:jc w:val="center"/>
            </w:pPr>
            <w:r>
              <w:rPr>
                <w:rFonts w:ascii="Simplified Arabic" w:hAnsi="Simplified Arabic"/>
                <w:b w:val="0"/>
                <w:color w:val="FFFFFF"/>
                <w:sz w:val="32"/>
              </w:rPr>
              <w:t>الجمهورية العراقية - تقرير متكامل من المنظومة الكاملة</w:t>
            </w:r>
          </w:p>
        </w:tc>
      </w:tr>
    </w:tbl>
    <w:p>
      <w:pPr>
        <w:bidi/>
        <w:spacing w:before="160" w:after="80"/>
        <w:jc w:val="right"/>
      </w:pPr>
      <w:r>
        <w:rPr>
          <w:rFonts w:ascii="Simplified Arabic" w:hAnsi="Simplified Arabic"/>
          <w:b w:val="0"/>
          <w:color w:val="707070"/>
          <w:sz w:val="24"/>
        </w:rPr>
        <w:t>تاريخ الإصدار: 09/05/2026  |  بيانات محدّثة: 2026-05-09  |  مؤتمر: SB62 - بون 2026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لوحة المؤشرات الرئيسية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74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لوحة تحكم شاملة: NDC Navigator، الفجوة التمويلية، توزيع الانبعاثات، والمؤشرات الرئيسية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أولاً: المؤشرات الرقمية المجمّعة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الجرد الوطني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إجمالي الانبعاثات 2021</w:t>
            </w:r>
          </w:p>
        </w:tc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التغيّر منذ 1990</w:t>
            </w:r>
          </w:p>
        </w:tc>
        <w:tc>
          <w:tcPr>
            <w:tcW w:type="dxa" w:w="3213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التغيّر السنوي 2020-2021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30"/>
              </w:rPr>
              <w:t>195,800 Gg CO2eq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0"/>
              </w:rPr>
              <w:t>+137.6%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BF8F00"/>
                <w:sz w:val="30"/>
              </w:rPr>
              <w:t>+2.87%</w:t>
            </w:r>
          </w:p>
        </w:tc>
      </w:tr>
    </w:tbl>
    <w:p>
      <w:pPr>
        <w:bidi/>
        <w:spacing w:before="12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المساهمة الوطنية NDC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الهدف غير المشروط 2030</w:t>
            </w:r>
          </w:p>
        </w:tc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فجوة الانبعاثات</w:t>
            </w:r>
          </w:p>
        </w:tc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وضع الامتثال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B"/>
                <w:sz w:val="30"/>
              </w:rPr>
              <w:t>190,000 Gg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0"/>
              </w:rPr>
              <w:t>+5,800 Gg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0"/>
              </w:rPr>
              <w:t>يتجاوز الهدف</w:t>
            </w:r>
          </w:p>
        </w:tc>
      </w:tr>
    </w:tbl>
    <w:p>
      <w:pPr>
        <w:bidi/>
        <w:spacing w:before="12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التمويل المناخي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الاحتياج الكلي</w:t>
            </w:r>
          </w:p>
        </w:tc>
        <w:tc>
          <w:tcPr>
            <w:tcW w:type="dxa" w:w="3213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التمويل المُعبَّأ</w:t>
            </w:r>
          </w:p>
        </w:tc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الفجوة التمويلية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30"/>
              </w:rPr>
              <w:t>88.0 مليار $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30"/>
              </w:rPr>
              <w:t>0.687 مليار $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0"/>
              </w:rPr>
              <w:t>87.31 مليار $</w:t>
            </w:r>
          </w:p>
        </w:tc>
      </w:tr>
    </w:tbl>
    <w:p>
      <w:pPr>
        <w:bidi/>
        <w:spacing w:before="12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المادة السادسة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صفقات ITMOs نشطة</w:t>
            </w:r>
          </w:p>
        </w:tc>
        <w:tc>
          <w:tcPr>
            <w:tcW w:type="dxa" w:w="3213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ITMOs سنوية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إيرادات سنوية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3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30"/>
              </w:rPr>
              <w:t>950,000 tCO2eq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B"/>
                <w:sz w:val="30"/>
              </w:rPr>
              <w:t>$13,500,000</w:t>
            </w:r>
          </w:p>
        </w:tc>
      </w:tr>
    </w:tbl>
    <w:p>
      <w:pPr>
        <w:bidi/>
        <w:spacing w:before="120" w:after="80"/>
        <w:jc w:val="right"/>
      </w:pP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ثانياً: خريطة الربط بين الأدوات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يوضح الجدول التالي كيف تتدفق البيانات والمخرجات بين الأدوات التسع: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المصدر</w:t>
            </w:r>
          </w:p>
        </w:tc>
        <w:tc>
          <w:tcPr>
            <w:tcW w:type="dxa" w:w="2551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الوجهة</w:t>
            </w:r>
          </w:p>
        </w:tc>
        <w:tc>
          <w:tcPr>
            <w:tcW w:type="dxa" w:w="4535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البيانات المنقولة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shared_data.py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BTR Generator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انبعاثات + NDC + هوية الدولة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shared_data.py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Article 6 Tracker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هدف NDC للتحقق من الامتثال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shared_data.py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GHG Analyzer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سنوات الجرد وبيانات الانبعاثات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shared_data.py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Finance Tracker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احتياجات تمويل NDC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shared_data.py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NDC Navigator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درجات تقييم المسارات السبعة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shared_data.py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PPTX Generator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هوية الدولة ومجموعة التفاوض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shared_data.py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Conference Manager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بيانات المؤتمر الحالي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GHG Analyzer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BTR Generator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إحصاءات الجرد التفصيلية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NDC Navigator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PPTX Generator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تقييم المسارات → شرائح المواقف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Finance Tracker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GCF Prep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فجوات التمويل → تحديد أولويات المشاريع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Article 6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BTR Generator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بيانات ITMOs → قسم المادة السادسة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2"/>
              </w:rPr>
              <w:t>NAP Central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22"/>
              </w:rPr>
              <w:t>NDC Navigator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خطط التكيف → تغذية مسار R2</w:t>
            </w:r>
          </w:p>
        </w:tc>
      </w:tr>
    </w:tbl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ثالثاً: حالة جميع الأدوات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الأداة</w:t>
            </w:r>
          </w:p>
        </w:tc>
        <w:tc>
          <w:tcPr>
            <w:tcW w:type="dxa" w:w="5669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المسار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الحالة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BTR Generator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0"/>
              </w:rPr>
              <w:t>tools/btr_generator/btr_generator.py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✓ نشط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Article 6 Tracker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0"/>
              </w:rPr>
              <w:t>tools/article6_tracker/a6_tracker.py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✓ نشط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GHG Analyzer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0"/>
              </w:rPr>
              <w:t>tools/ghg_analyzer/ghg_analyzer.py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✓ نشط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PPTX Generator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0"/>
              </w:rPr>
              <w:t>tools/pptx_generator/pptx_generator.py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✓ نشط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Finance Tracker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0"/>
              </w:rPr>
              <w:t>tools/finance_tracker/finance_tracker.py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✓ نشط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NDC Navigator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0"/>
              </w:rPr>
              <w:t>tools/ndc_navigator/ndc_navigator.py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✓ نشط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NAP Central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0"/>
              </w:rPr>
              <w:t>tools/nap_central/nap_central.py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✓ نشط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GCF Prep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0"/>
              </w:rPr>
              <w:t>tools/gcf_prep/gcf_prep.py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✓ نشط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Conference Manager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0"/>
              </w:rPr>
              <w:t>tools/conference_manager/conference_manager.py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✓ نشط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color w:val="707070"/>
        <w:sz w:val="20"/>
      </w:rPr>
      <w:t>لوحة تحكم المنظومة - الجمهورية العراقية  |  09/05/2026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