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400" w:after="0"/>
        <w:jc w:val="righ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1F497D" w:val="clear"/>
          </w:tcPr>
          <w:p>
            <w:pPr>
              <w:bidi/>
              <w:spacing w:before="320" w:after="320"/>
              <w:jc w:val="center"/>
            </w:pPr>
            <w:r>
              <w:rPr>
                <w:rFonts w:ascii="Simplified Arabic" w:hAnsi="Simplified Arabic"/>
                <w:b/>
                <w:i w:val="0"/>
                <w:color w:val="FFFFFF"/>
                <w:sz w:val="40"/>
              </w:rPr>
              <w:t>تقرير متابعة مفاوضات المادة السادسة</w:t>
            </w:r>
          </w:p>
        </w:tc>
      </w:tr>
    </w:tbl>
    <w:p>
      <w:pPr>
        <w:bidi/>
        <w:spacing w:before="120" w:after="0"/>
        <w:jc w:val="righ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DEF0FA" w:val="clear"/>
          </w:tcPr>
          <w:p>
            <w:pPr>
              <w:bidi/>
              <w:spacing w:before="240" w:after="240"/>
              <w:jc w:val="center"/>
            </w:pPr>
            <w:r>
              <w:rPr>
                <w:rFonts w:ascii="Simplified Arabic" w:hAnsi="Simplified Arabic"/>
                <w:b/>
                <w:i w:val="0"/>
                <w:color w:val="1F497D"/>
                <w:sz w:val="32"/>
              </w:rPr>
              <w:t>اتفاقية باريس - العراق</w:t>
            </w:r>
          </w:p>
          <w:p>
            <w:pPr>
              <w:bidi/>
              <w:spacing w:after="240"/>
              <w:jc w:val="center"/>
            </w:pPr>
            <w:r>
              <w:rPr>
                <w:rFonts w:ascii="Simplified Arabic" w:hAnsi="Simplified Arabic"/>
                <w:b w:val="0"/>
                <w:i w:val="0"/>
                <w:color w:val="707070"/>
                <w:sz w:val="24"/>
              </w:rPr>
              <w:t>تاريخ التقرير: 08/05/2026  |  مجموعة التفاوض: مجموعة الدول العربية / مجموعة G77+الصين</w:t>
            </w:r>
          </w:p>
        </w:tc>
      </w:tr>
    </w:tbl>
    <w:p>
      <w:r>
        <w:br w:type="page"/>
      </w: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i w:val="0"/>
          <w:color w:val="1F497D"/>
          <w:sz w:val="36"/>
        </w:rPr>
        <w:t>أولاً: ملخص محفظة ITMOs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FFFFFF"/>
                <w:sz w:val="22"/>
              </w:rPr>
              <w:t>عدد الصفقات النشطة</w:t>
            </w:r>
          </w:p>
        </w:tc>
        <w:tc>
          <w:tcPr>
            <w:tcW w:type="dxa" w:w="2268"/>
            <w:shd w:fill="1F497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FFFFFF"/>
                <w:sz w:val="22"/>
              </w:rPr>
              <w:t>إجمالي ITMOs (tCO2eq)</w:t>
            </w:r>
          </w:p>
        </w:tc>
        <w:tc>
          <w:tcPr>
            <w:tcW w:type="dxa" w:w="2268"/>
            <w:shd w:fill="37864B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FFFFFF"/>
                <w:sz w:val="22"/>
              </w:rPr>
              <w:t>إجمالي الإيرادات (USD)</w:t>
            </w:r>
          </w:p>
        </w:tc>
        <w:tc>
          <w:tcPr>
            <w:tcW w:type="dxa" w:w="2268"/>
            <w:shd w:fill="BF8F00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FFFFFF"/>
                <w:sz w:val="22"/>
              </w:rPr>
              <w:t>حصة صندوق التكيف</w:t>
            </w:r>
          </w:p>
        </w:tc>
      </w:tr>
      <w:tr>
        <w:tc>
          <w:tcPr>
            <w:tcW w:type="dxa" w:w="2268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2E75B6"/>
                <w:sz w:val="30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30"/>
              </w:rPr>
              <w:t>5,250,000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37864B"/>
                <w:sz w:val="30"/>
              </w:rPr>
              <w:t>$63,000,000</w:t>
            </w:r>
          </w:p>
        </w:tc>
        <w:tc>
          <w:tcPr>
            <w:tcW w:type="dxa" w:w="2268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BF8F00"/>
                <w:sz w:val="30"/>
              </w:rPr>
              <w:t>$1,800,000</w:t>
            </w:r>
          </w:p>
        </w:tc>
      </w:tr>
    </w:tbl>
    <w:p>
      <w:pPr>
        <w:bidi/>
        <w:spacing w:before="160" w:after="0"/>
        <w:jc w:val="right"/>
      </w:pPr>
    </w:p>
    <w:p>
      <w:pPr>
        <w:bidi/>
        <w:spacing w:before="80" w:after="80"/>
        <w:jc w:val="right"/>
      </w:pPr>
      <w:r>
        <w:rPr>
          <w:rFonts w:ascii="Simplified Arabic" w:hAnsi="Simplified Arabic"/>
          <w:b/>
          <w:i w:val="0"/>
          <w:color w:val="C00000"/>
          <w:sz w:val="24"/>
        </w:rPr>
        <w:t>⚠ تحذير: الصفقات التالية قد تتجاوز هدف NDC عند الجمع: IRQ-JPN-2025-001, IRQ-ADB-2025-003</w:t>
      </w: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i w:val="0"/>
          <w:color w:val="1F497D"/>
          <w:sz w:val="36"/>
        </w:rPr>
        <w:t>ثانياً: الصفقات والمفاوضات الجارية</w:t>
      </w: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i w:val="0"/>
          <w:color w:val="2E75B6"/>
          <w:sz w:val="30"/>
        </w:rPr>
        <w:t>IRQ-JPN-2025-001 - اليابان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الحالة</w:t>
            </w:r>
          </w:p>
        </w:tc>
        <w:tc>
          <w:tcPr>
            <w:tcW w:type="dxa" w:w="4536"/>
            <w:shd w:fill="2E75B6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FFFFFF"/>
                <w:sz w:val="24"/>
              </w:rPr>
              <w:t>قيد التفاوض</w:t>
            </w:r>
          </w:p>
        </w:tc>
      </w:tr>
      <w:tr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نوع الآلية</w:t>
            </w:r>
          </w:p>
        </w:tc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6.2 - تعاون ثنائي</w:t>
            </w:r>
          </w:p>
        </w:tc>
      </w:tr>
      <w:tr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القطاع</w:t>
            </w:r>
          </w:p>
        </w:tc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الطاقة - مشاريع طاقة شمسية</w:t>
            </w:r>
          </w:p>
        </w:tc>
      </w:tr>
      <w:tr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النشاط</w:t>
            </w:r>
          </w:p>
        </w:tc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محطة طاقة شمسية 500 ميغاواط - البادية الغربية</w:t>
            </w:r>
          </w:p>
        </w:tc>
      </w:tr>
      <w:tr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مدة الصفقة</w:t>
            </w:r>
          </w:p>
        </w:tc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10 سنة</w:t>
            </w:r>
          </w:p>
        </w:tc>
      </w:tr>
      <w:tr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سعر الطن</w:t>
            </w:r>
          </w:p>
        </w:tc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$15.0 / tCO2eq</w:t>
            </w:r>
          </w:p>
        </w:tc>
      </w:tr>
      <w:tr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ITMOs سنوية</w:t>
            </w:r>
          </w:p>
        </w:tc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300,000 tCO2eq</w:t>
            </w:r>
          </w:p>
        </w:tc>
      </w:tr>
      <w:tr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إجمالي ITMOs</w:t>
            </w:r>
          </w:p>
        </w:tc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3,000,000 tCO2eq</w:t>
            </w:r>
          </w:p>
        </w:tc>
      </w:tr>
      <w:tr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الإيرادات السنوية</w:t>
            </w:r>
          </w:p>
        </w:tc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$4,500,000</w:t>
            </w:r>
          </w:p>
        </w:tc>
      </w:tr>
      <w:tr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إجمالي الإيرادات</w:t>
            </w:r>
          </w:p>
        </w:tc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$45,000,000</w:t>
            </w:r>
          </w:p>
        </w:tc>
      </w:tr>
      <w:tr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حصة صندوق التكيف</w:t>
            </w:r>
          </w:p>
        </w:tc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$900,000.0</w:t>
            </w:r>
          </w:p>
        </w:tc>
      </w:tr>
      <w:tr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الإيرادات الصافية</w:t>
            </w:r>
          </w:p>
        </w:tc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$44,100,000.0</w:t>
            </w:r>
          </w:p>
        </w:tc>
      </w:tr>
      <w:tr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التحقق</w:t>
            </w:r>
          </w:p>
        </w:tc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مطلوب من جهة ثالثة معتمدة</w:t>
            </w:r>
          </w:p>
        </w:tc>
      </w:tr>
      <w:tr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امتثال NDC</w:t>
            </w:r>
          </w:p>
        </w:tc>
        <w:tc>
          <w:tcPr>
            <w:tcW w:type="dxa" w:w="4536"/>
            <w:shd w:fill="C00000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FFFFFF"/>
                <w:sz w:val="24"/>
              </w:rPr>
              <w:t>✗ يتجاوز الهدف</w:t>
            </w:r>
          </w:p>
        </w:tc>
      </w:tr>
      <w:tr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ملاحظات</w:t>
            </w:r>
          </w:p>
        </w:tc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ضمن إطار JCM الياباني - في مرحلة دراسة الجدوى</w:t>
            </w:r>
          </w:p>
        </w:tc>
      </w:tr>
    </w:tbl>
    <w:p>
      <w:pPr>
        <w:bidi/>
        <w:spacing w:before="120" w:after="40"/>
        <w:jc w:val="right"/>
      </w:pP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i w:val="0"/>
          <w:color w:val="2E75B6"/>
          <w:sz w:val="30"/>
        </w:rPr>
        <w:t>IRQ-KOR-2025-002 - كوريا الجنوبية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الحالة</w:t>
            </w:r>
          </w:p>
        </w:tc>
        <w:tc>
          <w:tcPr>
            <w:tcW w:type="dxa" w:w="4536"/>
            <w:shd w:fill="BF8F00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FFFFFF"/>
                <w:sz w:val="24"/>
              </w:rPr>
              <w:t>مُعلَّق</w:t>
            </w:r>
          </w:p>
        </w:tc>
      </w:tr>
      <w:tr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نوع الآلية</w:t>
            </w:r>
          </w:p>
        </w:tc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6.2 - تعاون ثنائي</w:t>
            </w:r>
          </w:p>
        </w:tc>
      </w:tr>
      <w:tr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القطاع</w:t>
            </w:r>
          </w:p>
        </w:tc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النفط والغاز - الحد من حرق الغاز</w:t>
            </w:r>
          </w:p>
        </w:tc>
      </w:tr>
      <w:tr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النشاط</w:t>
            </w:r>
          </w:p>
        </w:tc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مشروع التقاط الغاز المصاحب في حقل الرميلة</w:t>
            </w:r>
          </w:p>
        </w:tc>
      </w:tr>
      <w:tr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مدة الصفقة</w:t>
            </w:r>
          </w:p>
        </w:tc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7 سنة</w:t>
            </w:r>
          </w:p>
        </w:tc>
      </w:tr>
      <w:tr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سعر الطن</w:t>
            </w:r>
          </w:p>
        </w:tc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$12.0 / tCO2eq</w:t>
            </w:r>
          </w:p>
        </w:tc>
      </w:tr>
      <w:tr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ITMOs سنوية</w:t>
            </w:r>
          </w:p>
        </w:tc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500,000 tCO2eq</w:t>
            </w:r>
          </w:p>
        </w:tc>
      </w:tr>
      <w:tr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إجمالي ITMOs</w:t>
            </w:r>
          </w:p>
        </w:tc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3,500,000 tCO2eq</w:t>
            </w:r>
          </w:p>
        </w:tc>
      </w:tr>
      <w:tr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الإيرادات السنوية</w:t>
            </w:r>
          </w:p>
        </w:tc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$6,000,000</w:t>
            </w:r>
          </w:p>
        </w:tc>
      </w:tr>
      <w:tr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إجمالي الإيرادات</w:t>
            </w:r>
          </w:p>
        </w:tc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$42,000,000</w:t>
            </w:r>
          </w:p>
        </w:tc>
      </w:tr>
      <w:tr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حصة صندوق التكيف</w:t>
            </w:r>
          </w:p>
        </w:tc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$840,000.0</w:t>
            </w:r>
          </w:p>
        </w:tc>
      </w:tr>
      <w:tr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الإيرادات الصافية</w:t>
            </w:r>
          </w:p>
        </w:tc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$41,160,000.0</w:t>
            </w:r>
          </w:p>
        </w:tc>
      </w:tr>
      <w:tr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التحقق</w:t>
            </w:r>
          </w:p>
        </w:tc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لم يُحدَّد بعد</w:t>
            </w:r>
          </w:p>
        </w:tc>
      </w:tr>
      <w:tr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امتثال NDC</w:t>
            </w:r>
          </w:p>
        </w:tc>
        <w:tc>
          <w:tcPr>
            <w:tcW w:type="dxa" w:w="4536"/>
            <w:shd w:fill="C00000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FFFFFF"/>
                <w:sz w:val="24"/>
              </w:rPr>
              <w:t>✗ يتجاوز الهدف</w:t>
            </w:r>
          </w:p>
        </w:tc>
      </w:tr>
      <w:tr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ملاحظات</w:t>
            </w:r>
          </w:p>
        </w:tc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متوقف ريثما يُحسم إطار MRV الوطني</w:t>
            </w:r>
          </w:p>
        </w:tc>
      </w:tr>
    </w:tbl>
    <w:p>
      <w:pPr>
        <w:bidi/>
        <w:spacing w:before="120" w:after="40"/>
        <w:jc w:val="right"/>
      </w:pPr>
    </w:p>
    <w:p>
      <w:pPr>
        <w:bidi/>
        <w:spacing w:before="200" w:after="80"/>
        <w:jc w:val="right"/>
      </w:pPr>
      <w:r>
        <w:rPr>
          <w:rFonts w:ascii="Simplified Arabic" w:hAnsi="Simplified Arabic"/>
          <w:b/>
          <w:i w:val="0"/>
          <w:color w:val="2E75B6"/>
          <w:sz w:val="30"/>
        </w:rPr>
        <w:t>IRQ-ADB-2025-003 - بنك التنمية الآسيوي / متعدد الأطراف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الحالة</w:t>
            </w:r>
          </w:p>
        </w:tc>
        <w:tc>
          <w:tcPr>
            <w:tcW w:type="dxa" w:w="4536"/>
            <w:shd w:fill="37864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FFFFFF"/>
                <w:sz w:val="24"/>
              </w:rPr>
              <w:t>نشط</w:t>
            </w:r>
          </w:p>
        </w:tc>
      </w:tr>
      <w:tr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نوع الآلية</w:t>
            </w:r>
          </w:p>
        </w:tc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6.4 - آلية الأمم المتحدة</w:t>
            </w:r>
          </w:p>
        </w:tc>
      </w:tr>
      <w:tr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القطاع</w:t>
            </w:r>
          </w:p>
        </w:tc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الغابات والأراضي - AFOLU</w:t>
            </w:r>
          </w:p>
        </w:tc>
      </w:tr>
      <w:tr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النشاط</w:t>
            </w:r>
          </w:p>
        </w:tc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مشروع مكافحة التصحر وزراعة الأشجار في المحافظات الجنوبية</w:t>
            </w:r>
          </w:p>
        </w:tc>
      </w:tr>
      <w:tr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مدة الصفقة</w:t>
            </w:r>
          </w:p>
        </w:tc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15 سنة</w:t>
            </w:r>
          </w:p>
        </w:tc>
      </w:tr>
      <w:tr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سعر الطن</w:t>
            </w:r>
          </w:p>
        </w:tc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$8.0 / tCO2eq</w:t>
            </w:r>
          </w:p>
        </w:tc>
      </w:tr>
      <w:tr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ITMOs سنوية</w:t>
            </w:r>
          </w:p>
        </w:tc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150,000 tCO2eq</w:t>
            </w:r>
          </w:p>
        </w:tc>
      </w:tr>
      <w:tr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إجمالي ITMOs</w:t>
            </w:r>
          </w:p>
        </w:tc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2,250,000 tCO2eq</w:t>
            </w:r>
          </w:p>
        </w:tc>
      </w:tr>
      <w:tr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الإيرادات السنوية</w:t>
            </w:r>
          </w:p>
        </w:tc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$1,200,000</w:t>
            </w:r>
          </w:p>
        </w:tc>
      </w:tr>
      <w:tr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إجمالي الإيرادات</w:t>
            </w:r>
          </w:p>
        </w:tc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$18,000,000</w:t>
            </w:r>
          </w:p>
        </w:tc>
      </w:tr>
      <w:tr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حصة صندوق التكيف</w:t>
            </w:r>
          </w:p>
        </w:tc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$900,000.0</w:t>
            </w:r>
          </w:p>
        </w:tc>
      </w:tr>
      <w:tr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الإيرادات الصافية</w:t>
            </w:r>
          </w:p>
        </w:tc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$17,100,000.0</w:t>
            </w:r>
          </w:p>
        </w:tc>
      </w:tr>
      <w:tr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التحقق</w:t>
            </w:r>
          </w:p>
        </w:tc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معيار Verra VCS معتمد</w:t>
            </w:r>
          </w:p>
        </w:tc>
      </w:tr>
      <w:tr>
        <w:tc>
          <w:tcPr>
            <w:tcW w:type="dxa" w:w="4536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امتثال NDC</w:t>
            </w:r>
          </w:p>
        </w:tc>
        <w:tc>
          <w:tcPr>
            <w:tcW w:type="dxa" w:w="4536"/>
            <w:shd w:fill="C00000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FFFFFF"/>
                <w:sz w:val="24"/>
              </w:rPr>
              <w:t>✗ يتجاوز الهدف</w:t>
            </w:r>
          </w:p>
        </w:tc>
      </w:tr>
      <w:tr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ملاحظات</w:t>
            </w:r>
          </w:p>
        </w:tc>
        <w:tc>
          <w:tcPr>
            <w:tcW w:type="dxa" w:w="4536"/>
            <w:shd w:fill="EEF4FB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أكثر الصفقات تقدماً - في مرحلة التسجيل</w:t>
            </w:r>
          </w:p>
        </w:tc>
      </w:tr>
    </w:tbl>
    <w:p>
      <w:pPr>
        <w:bidi/>
        <w:spacing w:before="120" w:after="40"/>
        <w:jc w:val="right"/>
      </w:pPr>
    </w:p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i w:val="0"/>
          <w:color w:val="1F497D"/>
          <w:sz w:val="36"/>
        </w:rPr>
        <w:t>ثالثاً: سجل جلسات المفاوضات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814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FFFFFF"/>
                <w:sz w:val="24"/>
              </w:rPr>
              <w:t>الجلسة</w:t>
            </w:r>
          </w:p>
        </w:tc>
        <w:tc>
          <w:tcPr>
            <w:tcW w:type="dxa" w:w="1134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FFFFFF"/>
                <w:sz w:val="24"/>
              </w:rPr>
              <w:t>التاريخ</w:t>
            </w:r>
          </w:p>
        </w:tc>
        <w:tc>
          <w:tcPr>
            <w:tcW w:type="dxa" w:w="1984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FFFFFF"/>
                <w:sz w:val="24"/>
              </w:rPr>
              <w:t>الموضوع</w:t>
            </w:r>
          </w:p>
        </w:tc>
        <w:tc>
          <w:tcPr>
            <w:tcW w:type="dxa" w:w="2268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FFFFFF"/>
                <w:sz w:val="24"/>
              </w:rPr>
              <w:t>موقف العراق</w:t>
            </w:r>
          </w:p>
        </w:tc>
        <w:tc>
          <w:tcPr>
            <w:tcW w:type="dxa" w:w="1984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FFFFFF"/>
                <w:sz w:val="24"/>
              </w:rPr>
              <w:t>النتيجة</w:t>
            </w:r>
          </w:p>
        </w:tc>
        <w:tc>
          <w:tcPr>
            <w:tcW w:type="dxa" w:w="1134"/>
            <w:shd w:fill="2E75B6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FFFFFF"/>
                <w:sz w:val="24"/>
              </w:rPr>
              <w:t>الأولوية</w:t>
            </w:r>
          </w:p>
        </w:tc>
      </w:tr>
      <w:tr>
        <w:tc>
          <w:tcPr>
            <w:tcW w:type="dxa" w:w="1512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SB62 - بون 2025</w:t>
            </w:r>
          </w:p>
        </w:tc>
        <w:tc>
          <w:tcPr>
            <w:tcW w:type="dxa" w:w="1512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يونيو 2025</w:t>
            </w:r>
          </w:p>
        </w:tc>
        <w:tc>
          <w:tcPr>
            <w:tcW w:type="dxa" w:w="1512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6.2 - مراجعة معايير مقابلات الحساب الوطنية</w:t>
            </w:r>
          </w:p>
        </w:tc>
        <w:tc>
          <w:tcPr>
            <w:tcW w:type="dxa" w:w="1512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دعم المرونة للدول النامية في آليات الإبلاغ</w:t>
            </w:r>
          </w:p>
        </w:tc>
        <w:tc>
          <w:tcPr>
            <w:tcW w:type="dxa" w:w="1512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تمديد المفاوضات إلى COP30</w:t>
            </w:r>
          </w:p>
        </w:tc>
        <w:tc>
          <w:tcPr>
            <w:tcW w:type="dxa" w:w="1512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C00000"/>
                <w:sz w:val="24"/>
              </w:rPr>
              <w:t>عالية</w:t>
            </w:r>
          </w:p>
        </w:tc>
      </w:tr>
      <w:tr>
        <w:tc>
          <w:tcPr>
            <w:tcW w:type="dxa" w:w="1512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COP29 - باكو 2024</w:t>
            </w:r>
          </w:p>
        </w:tc>
        <w:tc>
          <w:tcPr>
            <w:tcW w:type="dxa" w:w="1512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نوفمبر 2024</w:t>
            </w:r>
          </w:p>
        </w:tc>
        <w:tc>
          <w:tcPr>
            <w:tcW w:type="dxa" w:w="1512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اعتماد معايير التحقق للمادة 6.4</w:t>
            </w:r>
          </w:p>
        </w:tc>
        <w:tc>
          <w:tcPr>
            <w:tcW w:type="dxa" w:w="1512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دعم مع تحفظات على رسوم الاعتماد المرتفعة</w:t>
            </w:r>
          </w:p>
        </w:tc>
        <w:tc>
          <w:tcPr>
            <w:tcW w:type="dxa" w:w="1512"/>
            <w:shd w:fill="FFFFFF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اعتماد المعايير مع مراجعة الرسوم في 2025</w:t>
            </w:r>
          </w:p>
        </w:tc>
        <w:tc>
          <w:tcPr>
            <w:tcW w:type="dxa" w:w="1512"/>
            <w:shd w:fill="FFFFFF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C00000"/>
                <w:sz w:val="24"/>
              </w:rPr>
              <w:t>عالية</w:t>
            </w:r>
          </w:p>
        </w:tc>
      </w:tr>
      <w:tr>
        <w:tc>
          <w:tcPr>
            <w:tcW w:type="dxa" w:w="1512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/>
                <w:i w:val="0"/>
                <w:color w:val="1F497D"/>
                <w:sz w:val="24"/>
              </w:rPr>
              <w:t>SB60 - بون 2024</w:t>
            </w:r>
          </w:p>
        </w:tc>
        <w:tc>
          <w:tcPr>
            <w:tcW w:type="dxa" w:w="1512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يونيو 2024</w:t>
            </w:r>
          </w:p>
        </w:tc>
        <w:tc>
          <w:tcPr>
            <w:tcW w:type="dxa" w:w="1512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6.8 - النهج غير السوقية</w:t>
            </w:r>
          </w:p>
        </w:tc>
        <w:tc>
          <w:tcPr>
            <w:tcW w:type="dxa" w:w="1512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دعم قوي لتعزيز دور النهج غير السوقية</w:t>
            </w:r>
          </w:p>
        </w:tc>
        <w:tc>
          <w:tcPr>
            <w:tcW w:type="dxa" w:w="1512"/>
            <w:shd w:fill="F2F7FD" w:val="clear"/>
            <w:vAlign w:val="center"/>
          </w:tcPr>
          <w:p>
            <w:pPr>
              <w:bidi/>
              <w:jc w:val="right"/>
            </w:pPr>
            <w:r/>
            <w:r>
              <w:rPr>
                <w:rFonts w:ascii="Simplified Arabic" w:hAnsi="Simplified Arabic"/>
                <w:b w:val="0"/>
                <w:i w:val="0"/>
                <w:color w:val="262626"/>
                <w:sz w:val="24"/>
              </w:rPr>
              <w:t>إنشاء منتدى للنهج غير السوقية</w:t>
            </w:r>
          </w:p>
        </w:tc>
        <w:tc>
          <w:tcPr>
            <w:tcW w:type="dxa" w:w="1512"/>
            <w:shd w:fill="F2F7FD" w:val="clear"/>
            <w:vAlign w:val="center"/>
          </w:tcPr>
          <w:p>
            <w:pPr>
              <w:bidi/>
              <w:jc w:val="center"/>
            </w:pPr>
            <w:r/>
            <w:r>
              <w:rPr>
                <w:rFonts w:ascii="Simplified Arabic" w:hAnsi="Simplified Arabic"/>
                <w:b/>
                <w:i w:val="0"/>
                <w:color w:val="BF8F00"/>
                <w:sz w:val="24"/>
              </w:rPr>
              <w:t>متوسطة</w:t>
            </w:r>
          </w:p>
        </w:tc>
      </w:tr>
    </w:tbl>
    <w:p>
      <w:pPr>
        <w:bidi/>
        <w:spacing w:before="200" w:after="80"/>
        <w:jc w:val="right"/>
        <w:pBdr>
          <w:bottom w:val="single" w:sz="6" w:color="1F497D"/>
        </w:pBdr>
      </w:pPr>
      <w:r>
        <w:rPr>
          <w:rFonts w:ascii="Simplified Arabic" w:hAnsi="Simplified Arabic"/>
          <w:b/>
          <w:i w:val="0"/>
          <w:color w:val="1F497D"/>
          <w:sz w:val="36"/>
        </w:rPr>
        <w:t>رابعاً: المواقف التفاوضية الرئيسية للعراق</w:t>
      </w:r>
    </w:p>
    <w:p>
      <w:pPr>
        <w:bidi/>
        <w:spacing w:after="80"/>
        <w:jc w:val="right"/>
      </w:pPr>
      <w:r>
        <w:rPr>
          <w:rFonts w:ascii="Simplified Arabic" w:hAnsi="Simplified Arabic"/>
          <w:b/>
          <w:i w:val="0"/>
          <w:color w:val="2E75B6"/>
          <w:sz w:val="26"/>
        </w:rPr>
        <w:t xml:space="preserve">1.  </w:t>
      </w:r>
      <w:r>
        <w:rPr>
          <w:rFonts w:ascii="Simplified Arabic" w:hAnsi="Simplified Arabic"/>
          <w:b w:val="0"/>
          <w:i w:val="0"/>
          <w:color w:val="262626"/>
          <w:sz w:val="26"/>
        </w:rPr>
        <w:t>دعم آليات السوق مشروطاً بضمان التنمية المستدامة</w:t>
      </w:r>
    </w:p>
    <w:p>
      <w:pPr>
        <w:bidi/>
        <w:spacing w:after="80"/>
        <w:jc w:val="right"/>
      </w:pPr>
      <w:r>
        <w:rPr>
          <w:rFonts w:ascii="Simplified Arabic" w:hAnsi="Simplified Arabic"/>
          <w:b/>
          <w:i w:val="0"/>
          <w:color w:val="2E75B6"/>
          <w:sz w:val="26"/>
        </w:rPr>
        <w:t xml:space="preserve">2.  </w:t>
      </w:r>
      <w:r>
        <w:rPr>
          <w:rFonts w:ascii="Simplified Arabic" w:hAnsi="Simplified Arabic"/>
          <w:b w:val="0"/>
          <w:i w:val="0"/>
          <w:color w:val="262626"/>
          <w:sz w:val="26"/>
        </w:rPr>
        <w:t>التأكيد على الحق في التنمية وعدم التخلي عن الوقود الأحفوري</w:t>
      </w:r>
    </w:p>
    <w:p>
      <w:pPr>
        <w:bidi/>
        <w:spacing w:after="80"/>
        <w:jc w:val="right"/>
      </w:pPr>
      <w:r>
        <w:rPr>
          <w:rFonts w:ascii="Simplified Arabic" w:hAnsi="Simplified Arabic"/>
          <w:b/>
          <w:i w:val="0"/>
          <w:color w:val="2E75B6"/>
          <w:sz w:val="26"/>
        </w:rPr>
        <w:t xml:space="preserve">3.  </w:t>
      </w:r>
      <w:r>
        <w:rPr>
          <w:rFonts w:ascii="Simplified Arabic" w:hAnsi="Simplified Arabic"/>
          <w:b w:val="0"/>
          <w:i w:val="0"/>
          <w:color w:val="262626"/>
          <w:sz w:val="26"/>
        </w:rPr>
        <w:t>المطالبة بحصة 5% من عائدات المادة 6.4 لصندوق التكيف</w:t>
      </w:r>
    </w:p>
    <w:p>
      <w:pPr>
        <w:bidi/>
        <w:spacing w:after="80"/>
        <w:jc w:val="right"/>
      </w:pPr>
      <w:r>
        <w:rPr>
          <w:rFonts w:ascii="Simplified Arabic" w:hAnsi="Simplified Arabic"/>
          <w:b/>
          <w:i w:val="0"/>
          <w:color w:val="2E75B6"/>
          <w:sz w:val="26"/>
        </w:rPr>
        <w:t xml:space="preserve">4.  </w:t>
      </w:r>
      <w:r>
        <w:rPr>
          <w:rFonts w:ascii="Simplified Arabic" w:hAnsi="Simplified Arabic"/>
          <w:b w:val="0"/>
          <w:i w:val="0"/>
          <w:color w:val="262626"/>
          <w:sz w:val="26"/>
        </w:rPr>
        <w:t>رفض الاحتساب المزدوج وضرورة التعديلات المقابلة</w:t>
      </w:r>
    </w:p>
    <w:p>
      <w:pPr>
        <w:bidi/>
        <w:spacing w:after="80"/>
        <w:jc w:val="right"/>
      </w:pPr>
      <w:r>
        <w:rPr>
          <w:rFonts w:ascii="Simplified Arabic" w:hAnsi="Simplified Arabic"/>
          <w:b/>
          <w:i w:val="0"/>
          <w:color w:val="2E75B6"/>
          <w:sz w:val="26"/>
        </w:rPr>
        <w:t xml:space="preserve">5.  </w:t>
      </w:r>
      <w:r>
        <w:rPr>
          <w:rFonts w:ascii="Simplified Arabic" w:hAnsi="Simplified Arabic"/>
          <w:b w:val="0"/>
          <w:i w:val="0"/>
          <w:color w:val="262626"/>
          <w:sz w:val="26"/>
        </w:rPr>
        <w:t>دعم النهج غير السوقية (المادة 6.8) لاعتبارات السيادة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pStyle w:val="Footer"/>
      <w:jc w:val="right"/>
    </w:pPr>
    <w:r>
      <w:rPr>
        <w:rFonts w:ascii="Simplified Arabic" w:hAnsi="Simplified Arabic"/>
        <w:b w:val="0"/>
        <w:i w:val="0"/>
        <w:color w:val="707070"/>
        <w:sz w:val="20"/>
      </w:rPr>
      <w:t>تقرير متابعة المادة السادسة - العراق  |  08/05/2026  |  سري للاستخدام الرسمي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plified Arabic" w:hAnsi="Simplified Arabic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