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>
  <w:body>
    <w:p>
      <w:pPr>
        <w:pStyle w:val="Normal"/>
        <w:framePr w:w="560" w:hAnchor="page" w:vAnchor="page" w:x="1099" w:y="11302"/>
        <w:widowControl w:val="off"/>
        <w:autoSpaceDE w:val="off"/>
        <w:autoSpaceDN w:val="off"/>
        <w:spacing w:before="0" w:after="0" w:line="105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0000"/>
          <w:w w:val="100"/>
          <w:sz w:val="10"/>
          <w:szCs w:val="10"/>
        </w:rPr>
      </w:pPr>
      <w:r>
        <w:rPr>
          <w:rFonts w:ascii="OXPWFG+Arial-BoldMT" w:hAnsi="OXPWFG+Arial-BoldMT" w:fareast="OXPWFG+Arial-BoldMT" w:cs="OXPWFG+Arial-BoldMT"/>
          <w:color w:val="ff0000"/>
          <w:w w:val="100"/>
          <w:sz w:val="10"/>
          <w:szCs w:val="10"/>
        </w:rPr>
        <w:t>savills.fr</w:t>
      </w:r>
    </w:p>
    <w:p>
      <w:pPr>
        <w:pStyle w:val="Normal"/>
        <w:framePr w:w="660" w:hAnchor="page" w:vAnchor="page" w:x="15235" w:y="11302"/>
        <w:widowControl w:val="off"/>
        <w:autoSpaceDE w:val="off"/>
        <w:autoSpaceDN w:val="off"/>
        <w:spacing w:before="0" w:after="0" w:line="105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0000"/>
          <w:w w:val="100"/>
          <w:sz w:val="10"/>
          <w:szCs w:val="10"/>
        </w:rPr>
      </w:pPr>
      <w:r>
        <w:rPr>
          <w:rFonts w:ascii="OXPWFG+Arial-BoldMT" w:hAnsi="OXPWFG+Arial-BoldMT" w:fareast="OXPWFG+Arial-BoldMT" w:cs="OXPWFG+Arial-BoldMT"/>
          <w:color w:val="ff0000"/>
          <w:w w:val="100"/>
          <w:sz w:val="10"/>
          <w:szCs w:val="10"/>
        </w:rPr>
        <w:t>01/12/2023</w:t>
      </w:r>
    </w:p>
    <w:p>
      <w:pPr>
        <w:pStyle w:val="Normal"/>
        <w:framePr w:w="1054" w:hAnchor="page" w:vAnchor="page" w:x="2026" w:y="9962"/>
        <w:widowControl w:val="off"/>
        <w:autoSpaceDE w:val="off"/>
        <w:autoSpaceDN w:val="off"/>
        <w:spacing w:before="0" w:after="0" w:line="188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ffff"/>
          <w:w w:val="100"/>
          <w:sz w:val="18"/>
          <w:szCs w:val="18"/>
        </w:rPr>
      </w:pPr>
      <w:r>
        <w:rPr>
          <w:rFonts w:ascii="OXPWFG+Arial-BoldMT" w:hAnsi="OXPWFG+Arial-BoldMT" w:fareast="OXPWFG+Arial-BoldMT" w:cs="OXPWFG+Arial-BoldMT"/>
          <w:color w:val="ffffff"/>
          <w:w w:val="100"/>
          <w:sz w:val="18"/>
          <w:szCs w:val="18"/>
        </w:rPr>
        <w:t>TRISTAN</w:t>
      </w:r>
    </w:p>
    <w:p>
      <w:pPr>
        <w:pStyle w:val="Normal"/>
        <w:framePr w:w="4397" w:hAnchor="page" w:vAnchor="page" w:x="2026" w:y="2152"/>
        <w:widowControl w:val="off"/>
        <w:autoSpaceDE w:val="off"/>
        <w:autoSpaceDN w:val="off"/>
        <w:spacing w:before="0" w:after="0" w:line="188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ffff"/>
          <w:w w:val="100"/>
          <w:sz w:val="18"/>
          <w:szCs w:val="18"/>
        </w:rPr>
      </w:pPr>
      <w:r>
        <w:rPr>
          <w:rFonts w:ascii="OXPWFG+Arial-BoldMT" w:hAnsi="OXPWFG+Arial-BoldMT" w:fareast="OXPWFG+Arial-BoldMT" w:cs="OXPWFG+Arial-BoldMT"/>
          <w:color w:val="ffffff"/>
          <w:w w:val="100"/>
          <w:sz w:val="18"/>
          <w:szCs w:val="18"/>
        </w:rPr>
        <w:t>23/25 Rue du Pont-Neuf, 75001 Paris, France</w:t>
      </w:r>
    </w:p>
    <w:p>
      <w:pPr>
        <w:pStyle w:val="Normal"/>
        <w:framePr w:w="2308" w:hAnchor="page" w:vAnchor="page" w:x="2028" w:y="1898"/>
        <w:widowControl w:val="off"/>
        <w:autoSpaceDE w:val="off"/>
        <w:autoSpaceDN w:val="off"/>
        <w:spacing w:before="0" w:after="0" w:line="208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ffff"/>
          <w:w w:val="100"/>
          <w:sz w:val="20"/>
          <w:szCs w:val="20"/>
        </w:rPr>
      </w:pPr>
      <w:r>
        <w:rPr>
          <w:rFonts w:ascii="OXPWFG+Arial-BoldMT" w:hAnsi="OXPWFG+Arial-BoldMT" w:fareast="OXPWFG+Arial-BoldMT" w:cs="OXPWFG+Arial-BoldMT"/>
          <w:color w:val="ffffff"/>
          <w:w w:val="100"/>
          <w:sz w:val="20"/>
          <w:szCs w:val="20"/>
        </w:rPr>
        <w:t>RED FLAG REPORT</w:t>
      </w:r>
    </w:p>
    <w:p>
      <w:pPr>
        <w:pStyle w:val="Normal"/>
        <w:framePr w:w="4846" w:hAnchor="page" w:vAnchor="page" w:x="6274" w:y="462"/>
        <w:widowControl w:val="off"/>
        <w:autoSpaceDE w:val="off"/>
        <w:autoSpaceDN w:val="off"/>
        <w:spacing w:before="0" w:after="0" w:line="125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100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100"/>
          <w:sz w:val="12"/>
          <w:szCs w:val="12"/>
        </w:rPr>
        <w:t>SAVILLS TECHNICAL DUE DILIGENCE RED FLAG AND CAPEX APPRAISAL</w:t>
      </w:r>
    </w:p>
    <w:p>
      <w:pPr>
        <w:pStyle w:val="Normal"/>
        <w:framePr w:w="7434" w:hAnchor="page" w:vAnchor="page" w:x="400" w:y="219"/>
        <w:widowControl w:val="off"/>
        <w:autoSpaceDE w:val="off"/>
        <w:autoSpaceDN w:val="off"/>
        <w:spacing w:before="0" w:after="0" w:line="223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  <w:r>
        <w:rPr>
          <w:rFonts w:ascii="Arial" w:hAnsi="Arial" w:fareast="Arial" w:cs="Arial"/>
          <w:color w:val="ff0000"/>
          <w:w w:val="100"/>
          <w:sz w:val="20"/>
          <w:szCs w:val="20"/>
        </w:rPr>
        <w:t>Evaluation Warning : The document was created with Spire.PDF for .NET.</w:t>
      </w:r>
    </w:p>
    <w:p>
      <w:pPr>
        <w:pStyle w:val="Normal"/>
        <w:autoSpaceDE w:val="off"/>
        <w:autoSpaceDN w:val="off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noProof w:val="on"/>
          <w:color w:val="000000"/>
          <w:sz w:val="14"/>
          <w:szCs w:val="14"/>
        </w:rPr>
        <w:sectPr>
          <w:pgSz w:w="16820" w:h="11900"/>
          <w:pgMar w:top="400" w:right="400" w:bottom="400" w:left="400" w:header="720" w:footer="720"/>
          <w:pgNumType w:start="1"/>
          <w:cols w:space="720" w:sep="off"/>
          <w:docGrid w:line-pitch="31680"/>
        </w:sectPr>
      </w:pP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0" style="position:absolute;margin-left:765.25pt;margin-top:22.4pt;z-index:-16777212;width:22.45pt;height:20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" style="position:absolute;margin-left:55.15pt;margin-top:70.7pt;z-index:-16777208;width:730.9pt;height:45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" style="position:absolute;margin-left:168pt;margin-top:131pt;z-index:-16777204;width:513.05pt;height:360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" o:title=""/>
          </v:shape>
        </w:pict>
      </w:r>
    </w:p>
    <w:p>
      <w:pPr>
        <w:pStyle w:val="Normal"/>
        <w:autoSpaceDE w:val="off"/>
        <w:autoSpaceDN w:val="off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</w:p>
    <w:p>
      <w:pPr>
        <w:pStyle w:val="Normal"/>
        <w:framePr w:w="1110" w:hAnchor="page" w:vAnchor="page" w:x="1152" w:y="11083"/>
        <w:widowControl w:val="off"/>
        <w:autoSpaceDE w:val="off"/>
        <w:autoSpaceDN w:val="off"/>
        <w:spacing w:before="0" w:after="0" w:line="208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0000"/>
          <w:w w:val="100"/>
          <w:sz w:val="20"/>
          <w:szCs w:val="20"/>
        </w:rPr>
      </w:pPr>
      <w:r>
        <w:rPr>
          <w:rFonts w:ascii="OXPWFG+Arial-BoldMT" w:hAnsi="OXPWFG+Arial-BoldMT" w:fareast="OXPWFG+Arial-BoldMT" w:cs="OXPWFG+Arial-BoldMT"/>
          <w:color w:val="ff0000"/>
          <w:w w:val="100"/>
          <w:sz w:val="20"/>
          <w:szCs w:val="20"/>
        </w:rPr>
        <w:t>savills.fr</w:t>
      </w:r>
    </w:p>
    <w:p>
      <w:pPr>
        <w:pStyle w:val="Normal"/>
        <w:framePr w:w="342" w:hAnchor="page" w:vAnchor="page" w:x="8352" w:y="11085"/>
        <w:widowControl w:val="off"/>
        <w:autoSpaceDE w:val="off"/>
        <w:autoSpaceDN w:val="off"/>
        <w:spacing w:before="0" w:after="0" w:line="208" w:lineRule="exact"/>
        <w:ind w:left="0" w:right="0" w:first-line="0"/>
        <w:jc w:val="left"/>
        <w:rPr>
          <w:rFonts w:ascii="LDEEPM+ArialMT" w:hAnsi="LDEEPM+ArialMT" w:fareast="LDEEPM+ArialMT" w:cs="LDEEPM+ArialMT"/>
          <w:color w:val="ff0000"/>
          <w:w w:val="100"/>
          <w:sz w:val="20"/>
          <w:szCs w:val="20"/>
        </w:rPr>
      </w:pPr>
      <w:r>
        <w:rPr>
          <w:rFonts w:ascii="LDEEPM+ArialMT" w:hAnsi="LDEEPM+ArialMT" w:fareast="LDEEPM+ArialMT" w:cs="LDEEPM+ArialMT"/>
          <w:color w:val="ff0000"/>
          <w:w w:val="100"/>
          <w:sz w:val="20"/>
          <w:szCs w:val="20"/>
        </w:rPr>
        <w:t>2</w:t>
      </w:r>
    </w:p>
    <w:p>
      <w:pPr>
        <w:pStyle w:val="Normal"/>
        <w:framePr w:w="1313" w:hAnchor="page" w:vAnchor="page" w:x="14688" w:y="11083"/>
        <w:widowControl w:val="off"/>
        <w:autoSpaceDE w:val="off"/>
        <w:autoSpaceDN w:val="off"/>
        <w:spacing w:before="0" w:after="0" w:line="208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0000"/>
          <w:w w:val="100"/>
          <w:sz w:val="20"/>
          <w:szCs w:val="20"/>
        </w:rPr>
      </w:pPr>
      <w:r>
        <w:rPr>
          <w:rFonts w:ascii="OXPWFG+Arial-BoldMT" w:hAnsi="OXPWFG+Arial-BoldMT" w:fareast="OXPWFG+Arial-BoldMT" w:cs="OXPWFG+Arial-BoldMT"/>
          <w:color w:val="ff0000"/>
          <w:w w:val="100"/>
          <w:sz w:val="20"/>
          <w:szCs w:val="20"/>
        </w:rPr>
        <w:t>01/12/2023</w:t>
      </w:r>
    </w:p>
    <w:p>
      <w:pPr>
        <w:pStyle w:val="Normal"/>
        <w:framePr w:w="929" w:hAnchor="page" w:vAnchor="page" w:x="13020" w:y="9882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9"/>
          <w:sz w:val="9"/>
          <w:szCs w:val="9"/>
        </w:rPr>
      </w:pPr>
      <w:r>
        <w:rPr>
          <w:rFonts w:ascii="OXPWFG+Arial-BoldMT" w:hAnsi="OXPWFG+Arial-BoldMT" w:fareast="OXPWFG+Arial-BoldMT" w:cs="OXPWFG+Arial-BoldMT"/>
          <w:color w:val="002144"/>
          <w:w w:val="99"/>
          <w:sz w:val="9"/>
          <w:szCs w:val="9"/>
        </w:rPr>
        <w:t>Overall risk rating</w:t>
      </w:r>
    </w:p>
    <w:p>
      <w:pPr>
        <w:pStyle w:val="Normal"/>
        <w:framePr w:w="3502" w:hAnchor="page" w:vAnchor="page" w:x="2268" w:y="9498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  <w:t>The hotel is operated under the Maison Albar brand, a 5-star luxury hotel brand.</w:t>
      </w:r>
    </w:p>
    <w:p>
      <w:pPr>
        <w:pStyle w:val="Normal"/>
        <w:framePr w:w="2439" w:hAnchor="page" w:vAnchor="page" w:x="7661" w:y="9419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  <w:t>- Implementation of BMS for BACS decree compliance</w:t>
      </w:r>
    </w:p>
    <w:p>
      <w:pPr>
        <w:pStyle w:val="Normal"/>
        <w:framePr w:w="3027" w:hAnchor="page" w:vAnchor="page" w:x="2268" w:y="9371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  <w:t>Centaurus (formally Paris Inn) is the operator and owner of the hotel.</w:t>
      </w:r>
    </w:p>
    <w:p>
      <w:pPr>
        <w:pStyle w:val="Normal"/>
        <w:framePr w:w="1283" w:hAnchor="page" w:vAnchor="page" w:x="2268" w:y="9246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</w:pPr>
      <w:r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  <w:t>Tenure / extent of demise</w:t>
      </w:r>
    </w:p>
    <w:p>
      <w:pPr>
        <w:pStyle w:val="Normal"/>
        <w:framePr w:w="3489" w:hAnchor="page" w:vAnchor="page" w:x="7661" w:y="9203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7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7"/>
          <w:sz w:val="9"/>
          <w:szCs w:val="9"/>
        </w:rPr>
        <w:t>- Investigate and repair the cause of the mosaic tiles lifting in the swimming pool</w:t>
      </w:r>
    </w:p>
    <w:p>
      <w:pPr>
        <w:pStyle w:val="Normal"/>
        <w:framePr w:w="731" w:hAnchor="page" w:vAnchor="page" w:x="4579" w:y="9095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  <w:t xml:space="preserve">the spa / gym. </w:t>
      </w:r>
    </w:p>
    <w:p>
      <w:pPr>
        <w:pStyle w:val="Normal"/>
        <w:framePr w:w="2489" w:hAnchor="page" w:vAnchor="page" w:x="4579" w:y="8987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7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7"/>
          <w:sz w:val="9"/>
          <w:szCs w:val="9"/>
        </w:rPr>
        <w:t xml:space="preserve">staircases and mechanical smoke extraction systems in </w:t>
      </w:r>
    </w:p>
    <w:p>
      <w:pPr>
        <w:pStyle w:val="Normal"/>
        <w:framePr w:w="2711" w:hAnchor="page" w:vAnchor="page" w:x="7661" w:y="8987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7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7"/>
          <w:sz w:val="9"/>
          <w:szCs w:val="9"/>
        </w:rPr>
        <w:t>- Investigate and fix the source of the water ingress in the spa</w:t>
      </w:r>
    </w:p>
    <w:p>
      <w:pPr>
        <w:pStyle w:val="Normal"/>
        <w:framePr w:w="2351" w:hAnchor="page" w:vAnchor="page" w:x="4579" w:y="8879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7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7"/>
          <w:sz w:val="9"/>
          <w:szCs w:val="9"/>
        </w:rPr>
        <w:t xml:space="preserve">stations next to fire exits, natural smoke extraction to </w:t>
      </w:r>
    </w:p>
    <w:p>
      <w:pPr>
        <w:pStyle w:val="Normal"/>
        <w:framePr w:w="2322" w:hAnchor="page" w:vAnchor="page" w:x="4579" w:y="8771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  <w:t xml:space="preserve">alarm system with smoke detection and manual call </w:t>
      </w:r>
    </w:p>
    <w:p>
      <w:pPr>
        <w:pStyle w:val="Normal"/>
        <w:framePr w:w="4659" w:hAnchor="page" w:vAnchor="page" w:x="7661" w:y="8771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  <w:t>- The requirement to undertake façade painting and cleaning before 2026 as per the city of Paris regulation</w:t>
      </w:r>
    </w:p>
    <w:p>
      <w:pPr>
        <w:pStyle w:val="Normal"/>
        <w:framePr w:w="2365" w:hAnchor="page" w:vAnchor="page" w:x="4579" w:y="8663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  <w:t xml:space="preserve">extinguishers throughout, automatic addressable fire </w:t>
      </w:r>
    </w:p>
    <w:p>
      <w:pPr>
        <w:pStyle w:val="Normal"/>
        <w:framePr w:w="1119" w:hAnchor="page" w:vAnchor="page" w:x="2268" w:y="8555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  <w:t>Fire protection systems:</w:t>
      </w:r>
    </w:p>
    <w:p>
      <w:pPr>
        <w:pStyle w:val="Normal"/>
        <w:framePr w:w="2196" w:hAnchor="page" w:vAnchor="page" w:x="4579" w:y="8555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6"/>
          <w:sz w:val="9"/>
          <w:szCs w:val="9"/>
        </w:rPr>
        <w:t xml:space="preserve">Dry risers with two outlet valves at each level, fire </w:t>
      </w:r>
    </w:p>
    <w:p>
      <w:pPr>
        <w:pStyle w:val="Normal"/>
        <w:framePr w:w="5337" w:hAnchor="page" w:vAnchor="page" w:x="7661" w:y="8555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  <w:t>From a TDD perspective, we see no reason why the proposed loan facility should not proceed. Key points to consider are:-</w:t>
      </w:r>
    </w:p>
    <w:p>
      <w:pPr>
        <w:pStyle w:val="Normal"/>
        <w:framePr w:w="1462" w:hAnchor="page" w:vAnchor="page" w:x="4579" w:y="8413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7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7"/>
          <w:sz w:val="9"/>
          <w:szCs w:val="9"/>
        </w:rPr>
        <w:t xml:space="preserve">city utility water supply network. </w:t>
      </w:r>
    </w:p>
    <w:p>
      <w:pPr>
        <w:pStyle w:val="Normal"/>
        <w:framePr w:w="1011" w:hAnchor="page" w:vAnchor="page" w:x="7661" w:y="8370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</w:pPr>
      <w:r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  <w:t xml:space="preserve">Recommendations </w:t>
      </w:r>
    </w:p>
    <w:p>
      <w:pPr>
        <w:pStyle w:val="Normal"/>
        <w:framePr w:w="1164" w:hAnchor="page" w:vAnchor="page" w:x="2268" w:y="8305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7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7"/>
          <w:sz w:val="9"/>
          <w:szCs w:val="9"/>
        </w:rPr>
        <w:t>Domestic water services:</w:t>
      </w:r>
    </w:p>
    <w:p>
      <w:pPr>
        <w:pStyle w:val="Normal"/>
        <w:framePr w:w="2578" w:hAnchor="page" w:vAnchor="page" w:x="4579" w:y="8305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  <w:t xml:space="preserve">Cold water supply from a main metered connection to the </w:t>
      </w:r>
    </w:p>
    <w:p>
      <w:pPr>
        <w:pStyle w:val="Normal"/>
        <w:framePr w:w="979" w:hAnchor="page" w:vAnchor="page" w:x="4579" w:y="8188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7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7"/>
          <w:sz w:val="9"/>
          <w:szCs w:val="9"/>
        </w:rPr>
        <w:t>low voltage systems.</w:t>
      </w:r>
    </w:p>
    <w:p>
      <w:pPr>
        <w:pStyle w:val="Normal"/>
        <w:framePr w:w="2613" w:hAnchor="page" w:vAnchor="page" w:x="4579" w:y="8080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  <w:t xml:space="preserve">Sanitary &amp; Storm drainage, electrical lighting &amp; power, and </w:t>
      </w:r>
    </w:p>
    <w:p>
      <w:pPr>
        <w:pStyle w:val="Normal"/>
        <w:framePr w:w="2325" w:hAnchor="page" w:vAnchor="page" w:x="4579" w:y="7972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  <w:t xml:space="preserve">building including Heating, Cooling, Ventilation, and </w:t>
      </w:r>
    </w:p>
    <w:p>
      <w:pPr>
        <w:pStyle w:val="Normal"/>
        <w:framePr w:w="886" w:hAnchor="page" w:vAnchor="page" w:x="2268" w:y="7864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7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7"/>
          <w:sz w:val="9"/>
          <w:szCs w:val="9"/>
        </w:rPr>
        <w:t xml:space="preserve">MEP installations: </w:t>
      </w:r>
    </w:p>
    <w:p>
      <w:pPr>
        <w:pStyle w:val="Normal"/>
        <w:framePr w:w="2325" w:hAnchor="page" w:vAnchor="page" w:x="4579" w:y="7864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7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7"/>
          <w:sz w:val="9"/>
          <w:szCs w:val="9"/>
        </w:rPr>
        <w:t xml:space="preserve">Mechanical &amp; Electrical services required for a hotel </w:t>
      </w:r>
    </w:p>
    <w:p>
      <w:pPr>
        <w:pStyle w:val="Normal"/>
        <w:framePr w:w="1354" w:hAnchor="page" w:vAnchor="page" w:x="2268" w:y="7736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  <w:t>Windows and external doors:</w:t>
      </w:r>
    </w:p>
    <w:p>
      <w:pPr>
        <w:pStyle w:val="Normal"/>
        <w:framePr w:w="1602" w:hAnchor="page" w:vAnchor="page" w:x="4579" w:y="7736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  <w:t>Timber framed with double glazing.</w:t>
      </w:r>
    </w:p>
    <w:p>
      <w:pPr>
        <w:pStyle w:val="Normal"/>
        <w:framePr w:w="2027" w:hAnchor="page" w:vAnchor="page" w:x="4579" w:y="7590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  <w:t>masonry and painted wrought iron blaconies.</w:t>
      </w:r>
    </w:p>
    <w:p>
      <w:pPr>
        <w:pStyle w:val="Normal"/>
        <w:framePr w:w="498" w:hAnchor="page" w:vAnchor="page" w:x="2268" w:y="7482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  <w:t>Façades:</w:t>
      </w:r>
    </w:p>
    <w:p>
      <w:pPr>
        <w:pStyle w:val="Normal"/>
        <w:framePr w:w="2399" w:hAnchor="page" w:vAnchor="page" w:x="4579" w:y="7482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  <w:t xml:space="preserve">Typical Paris Haussmanian façades with ashlar stone </w:t>
      </w:r>
    </w:p>
    <w:p>
      <w:pPr>
        <w:pStyle w:val="Normal"/>
        <w:framePr w:w="2710" w:hAnchor="page" w:vAnchor="page" w:x="7661" w:y="7398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7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7"/>
          <w:sz w:val="9"/>
          <w:szCs w:val="9"/>
        </w:rPr>
        <w:t>the mechanical &amp; electrical installations for the next ten years.</w:t>
      </w:r>
    </w:p>
    <w:p>
      <w:pPr>
        <w:pStyle w:val="Normal"/>
        <w:framePr w:w="2386" w:hAnchor="page" w:vAnchor="page" w:x="4579" w:y="7340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  <w:t>equipment on level 6 technical room with fixed ladder.</w:t>
      </w:r>
    </w:p>
    <w:p>
      <w:pPr>
        <w:pStyle w:val="Normal"/>
        <w:framePr w:w="7598" w:hAnchor="page" w:vAnchor="page" w:x="7661" w:y="7290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  <w:t xml:space="preserve">The mechanical and electrical services were all replaced in 2016 and remain in good condition. We do not anticipate any major owner life cycle capital expenditure pertaining to </w:t>
      </w:r>
    </w:p>
    <w:p>
      <w:pPr>
        <w:pStyle w:val="Normal"/>
        <w:framePr w:w="2491" w:hAnchor="page" w:vAnchor="page" w:x="4579" w:y="7232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  <w:t xml:space="preserve">technical roof with built-up felt. Secure access to HVAC </w:t>
      </w:r>
    </w:p>
    <w:p>
      <w:pPr>
        <w:pStyle w:val="Normal"/>
        <w:framePr w:w="335" w:hAnchor="page" w:vAnchor="page" w:x="2268" w:y="7124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100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100"/>
          <w:sz w:val="9"/>
          <w:szCs w:val="9"/>
        </w:rPr>
        <w:t>Roof:</w:t>
      </w:r>
    </w:p>
    <w:p>
      <w:pPr>
        <w:pStyle w:val="Normal"/>
        <w:framePr w:w="2420" w:hAnchor="page" w:vAnchor="page" w:x="4579" w:y="7124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  <w:t xml:space="preserve">Pitched roof with zinc covering overthermal insulation; </w:t>
      </w:r>
    </w:p>
    <w:p>
      <w:pPr>
        <w:pStyle w:val="Normal"/>
        <w:framePr w:w="5070" w:hAnchor="page" w:vAnchor="page" w:x="7661" w:y="7074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  <w:t xml:space="preserve">The maintenance programme by the operator is appropriate. Limited capex costs were identified by the Savills team. </w:t>
      </w:r>
    </w:p>
    <w:p>
      <w:pPr>
        <w:pStyle w:val="Normal"/>
        <w:framePr w:w="1296" w:hAnchor="page" w:vAnchor="page" w:x="4579" w:y="6995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  <w:t>reinforced with steel beams.</w:t>
      </w:r>
    </w:p>
    <w:p>
      <w:pPr>
        <w:pStyle w:val="Normal"/>
        <w:framePr w:w="522" w:hAnchor="page" w:vAnchor="page" w:x="2268" w:y="6887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  <w:t>Structure:</w:t>
      </w:r>
    </w:p>
    <w:p>
      <w:pPr>
        <w:pStyle w:val="Normal"/>
        <w:framePr w:w="2573" w:hAnchor="page" w:vAnchor="page" w:x="4579" w:y="6887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  <w:t xml:space="preserve">Solid load-bearing masonry and steel with concrete floors </w:t>
      </w:r>
    </w:p>
    <w:p>
      <w:pPr>
        <w:pStyle w:val="Normal"/>
        <w:framePr w:w="2982" w:hAnchor="page" w:vAnchor="page" w:x="7661" w:y="6858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7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7"/>
          <w:sz w:val="9"/>
          <w:szCs w:val="9"/>
        </w:rPr>
        <w:t xml:space="preserve">The finishes fittings and services installations are in good condition. </w:t>
      </w:r>
    </w:p>
    <w:p>
      <w:pPr>
        <w:pStyle w:val="Normal"/>
        <w:framePr w:w="741" w:hAnchor="page" w:vAnchor="page" w:x="4579" w:y="6750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7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7"/>
          <w:sz w:val="9"/>
          <w:szCs w:val="9"/>
        </w:rPr>
        <w:t>basement level</w:t>
      </w:r>
    </w:p>
    <w:p>
      <w:pPr>
        <w:pStyle w:val="Normal"/>
        <w:framePr w:w="2314" w:hAnchor="page" w:vAnchor="page" w:x="4579" w:y="6642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  <w:t xml:space="preserve">office on each floor, laundry room and staff room at </w:t>
      </w:r>
    </w:p>
    <w:p>
      <w:pPr>
        <w:pStyle w:val="Normal"/>
        <w:framePr w:w="335" w:hAnchor="page" w:vAnchor="page" w:x="7661" w:y="6642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  <w:t>hotel.</w:t>
      </w:r>
    </w:p>
    <w:p>
      <w:pPr>
        <w:pStyle w:val="Normal"/>
        <w:framePr w:w="746" w:hAnchor="page" w:vAnchor="page" w:x="2268" w:y="6534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  <w:t>Back of house:</w:t>
      </w:r>
    </w:p>
    <w:p>
      <w:pPr>
        <w:pStyle w:val="Normal"/>
        <w:framePr w:w="2473" w:hAnchor="page" w:vAnchor="page" w:x="4579" w:y="6534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  <w:t xml:space="preserve">Kitchen and offices at ground floor level, housekeeping </w:t>
      </w:r>
    </w:p>
    <w:p>
      <w:pPr>
        <w:pStyle w:val="Normal"/>
        <w:framePr w:w="7701" w:hAnchor="page" w:vAnchor="page" w:x="7661" w:y="6534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  <w:t xml:space="preserve">Overall the hotel is in satisfactory condition, typical with the age of construction. Full renovation was undertaken in 2016 to the building interiors and to the external envelope of the </w:t>
      </w:r>
    </w:p>
    <w:p>
      <w:pPr>
        <w:pStyle w:val="Normal"/>
        <w:framePr w:w="2520" w:hAnchor="page" w:vAnchor="page" w:x="4579" w:y="6380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  <w:t>level and with spa and gym / fitness room in basement 1.</w:t>
      </w:r>
    </w:p>
    <w:p>
      <w:pPr>
        <w:pStyle w:val="Normal"/>
        <w:framePr w:w="935" w:hAnchor="page" w:vAnchor="page" w:x="7652" w:y="6277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</w:pPr>
      <w:r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  <w:t>General condition</w:t>
      </w:r>
    </w:p>
    <w:p>
      <w:pPr>
        <w:pStyle w:val="Normal"/>
        <w:framePr w:w="757" w:hAnchor="page" w:vAnchor="page" w:x="2268" w:y="6272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  <w:t>Front of house:</w:t>
      </w:r>
    </w:p>
    <w:p>
      <w:pPr>
        <w:pStyle w:val="Normal"/>
        <w:framePr w:w="2496" w:hAnchor="page" w:vAnchor="page" w:x="4579" w:y="6272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  <w:t xml:space="preserve">Reception hall, restaurant and courtyard at ground floor </w:t>
      </w:r>
    </w:p>
    <w:p>
      <w:pPr>
        <w:pStyle w:val="Normal"/>
        <w:framePr w:w="686" w:hAnchor="page" w:vAnchor="page" w:x="2268" w:y="6145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  <w:t>Floor loading:</w:t>
      </w:r>
    </w:p>
    <w:p>
      <w:pPr>
        <w:pStyle w:val="Normal"/>
        <w:framePr w:w="1129" w:hAnchor="page" w:vAnchor="page" w:x="4579" w:y="6145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7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7"/>
          <w:sz w:val="9"/>
          <w:szCs w:val="9"/>
        </w:rPr>
        <w:t>Not assessed by Savills.</w:t>
      </w:r>
    </w:p>
    <w:p>
      <w:pPr>
        <w:pStyle w:val="Normal"/>
        <w:framePr w:w="617" w:hAnchor="page" w:vAnchor="page" w:x="2268" w:y="6018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7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7"/>
          <w:sz w:val="9"/>
          <w:szCs w:val="9"/>
        </w:rPr>
        <w:t>Ceiling void:</w:t>
      </w:r>
    </w:p>
    <w:p>
      <w:pPr>
        <w:pStyle w:val="Normal"/>
        <w:framePr w:w="1589" w:hAnchor="page" w:vAnchor="page" w:x="4579" w:y="6018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  <w:t>0.3 - 0.4 m (on-site measurement).</w:t>
      </w:r>
    </w:p>
    <w:p>
      <w:pPr>
        <w:pStyle w:val="Normal"/>
        <w:framePr w:w="2146" w:hAnchor="page" w:vAnchor="page" w:x="7661" w:y="5886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ffff"/>
          <w:w w:val="100"/>
          <w:sz w:val="9"/>
          <w:szCs w:val="9"/>
        </w:rPr>
      </w:pPr>
      <w:r>
        <w:rPr>
          <w:rFonts w:ascii="OXPWFG+Arial-BoldMT" w:hAnsi="OXPWFG+Arial-BoldMT" w:fareast="OXPWFG+Arial-BoldMT" w:cs="OXPWFG+Arial-BoldMT"/>
          <w:color w:val="ffffff"/>
          <w:w w:val="100"/>
          <w:sz w:val="9"/>
          <w:szCs w:val="9"/>
        </w:rPr>
        <w:t xml:space="preserve">CONCLUSIONS AND RECOMMENDATIONS </w:t>
      </w:r>
    </w:p>
    <w:p>
      <w:pPr>
        <w:pStyle w:val="Normal"/>
        <w:framePr w:w="1697" w:hAnchor="page" w:vAnchor="page" w:x="4579" w:y="5872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  <w:t>guestrooms and 2.23 m in spa / gym.</w:t>
      </w:r>
    </w:p>
    <w:p>
      <w:pPr>
        <w:pStyle w:val="Normal"/>
        <w:framePr w:w="694" w:hAnchor="page" w:vAnchor="page" w:x="2268" w:y="5764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  <w:t>Storey height:</w:t>
      </w:r>
    </w:p>
    <w:p>
      <w:pPr>
        <w:pStyle w:val="Normal"/>
        <w:framePr w:w="2449" w:hAnchor="page" w:vAnchor="page" w:x="4579" w:y="5764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  <w:t xml:space="preserve">2.8 m in reception, 2.42 m to corridors, 2.17-2.40 m to </w:t>
      </w:r>
    </w:p>
    <w:p>
      <w:pPr>
        <w:pStyle w:val="Normal"/>
        <w:framePr w:w="820" w:hAnchor="page" w:vAnchor="page" w:x="2268" w:y="5636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  <w:t>Number of Keys:</w:t>
      </w:r>
    </w:p>
    <w:p>
      <w:pPr>
        <w:pStyle w:val="Normal"/>
        <w:framePr w:w="209" w:hAnchor="page" w:vAnchor="page" w:x="4579" w:y="5636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100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100"/>
          <w:sz w:val="9"/>
          <w:szCs w:val="9"/>
        </w:rPr>
        <w:t>60</w:t>
      </w:r>
    </w:p>
    <w:p>
      <w:pPr>
        <w:pStyle w:val="Normal"/>
        <w:framePr w:w="844" w:hAnchor="page" w:vAnchor="page" w:x="2268" w:y="5509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7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7"/>
          <w:sz w:val="9"/>
          <w:szCs w:val="9"/>
        </w:rPr>
        <w:t>Number of levels:</w:t>
      </w:r>
    </w:p>
    <w:p>
      <w:pPr>
        <w:pStyle w:val="Normal"/>
        <w:framePr w:w="2280" w:hAnchor="page" w:vAnchor="page" w:x="4579" w:y="5509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  <w:t>2 basement levels, ground floor and 6 upper levels.</w:t>
      </w:r>
    </w:p>
    <w:p>
      <w:pPr>
        <w:pStyle w:val="Normal"/>
        <w:framePr w:w="1012" w:hAnchor="page" w:vAnchor="page" w:x="2268" w:y="5401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  <w:t>Total surface area (m</w:t>
      </w:r>
    </w:p>
    <w:p>
      <w:pPr>
        <w:pStyle w:val="Normal"/>
        <w:framePr w:w="158" w:hAnchor="page" w:vAnchor="page" w:x="3132" w:y="5401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  <w:t>):</w:t>
      </w:r>
    </w:p>
    <w:p>
      <w:pPr>
        <w:pStyle w:val="Normal"/>
        <w:framePr w:w="335" w:hAnchor="page" w:vAnchor="page" w:x="7925" w:y="5387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</w:pPr>
      <w:r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  <w:t>Total</w:t>
      </w:r>
    </w:p>
    <w:p>
      <w:pPr>
        <w:pStyle w:val="Normal"/>
        <w:framePr w:w="153" w:hAnchor="page" w:vAnchor="page" w:x="8460" w:y="5387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9"/>
          <w:sz w:val="9"/>
          <w:szCs w:val="9"/>
        </w:rPr>
      </w:pPr>
      <w:r>
        <w:rPr>
          <w:rFonts w:ascii="OXPWFG+Arial-BoldMT" w:hAnsi="OXPWFG+Arial-BoldMT" w:fareast="OXPWFG+Arial-BoldMT" w:cs="OXPWFG+Arial-BoldMT"/>
          <w:color w:val="002144"/>
          <w:w w:val="99"/>
          <w:sz w:val="9"/>
          <w:szCs w:val="9"/>
        </w:rPr>
        <w:t>€</w:t>
      </w:r>
    </w:p>
    <w:p>
      <w:pPr>
        <w:pStyle w:val="Normal"/>
        <w:framePr w:w="153" w:hAnchor="page" w:vAnchor="page" w:x="9075" w:y="5387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9"/>
          <w:sz w:val="9"/>
          <w:szCs w:val="9"/>
        </w:rPr>
      </w:pPr>
      <w:r>
        <w:rPr>
          <w:rFonts w:ascii="OXPWFG+Arial-BoldMT" w:hAnsi="OXPWFG+Arial-BoldMT" w:fareast="OXPWFG+Arial-BoldMT" w:cs="OXPWFG+Arial-BoldMT"/>
          <w:color w:val="002144"/>
          <w:w w:val="99"/>
          <w:sz w:val="9"/>
          <w:szCs w:val="9"/>
        </w:rPr>
        <w:t>0</w:t>
      </w:r>
    </w:p>
    <w:p>
      <w:pPr>
        <w:pStyle w:val="Normal"/>
        <w:framePr w:w="153" w:hAnchor="page" w:vAnchor="page" w:x="9231" w:y="5387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9"/>
          <w:sz w:val="9"/>
          <w:szCs w:val="9"/>
        </w:rPr>
      </w:pPr>
      <w:r>
        <w:rPr>
          <w:rFonts w:ascii="OXPWFG+Arial-BoldMT" w:hAnsi="OXPWFG+Arial-BoldMT" w:fareast="OXPWFG+Arial-BoldMT" w:cs="OXPWFG+Arial-BoldMT"/>
          <w:color w:val="002144"/>
          <w:w w:val="99"/>
          <w:sz w:val="9"/>
          <w:szCs w:val="9"/>
        </w:rPr>
        <w:t>€</w:t>
      </w:r>
    </w:p>
    <w:p>
      <w:pPr>
        <w:pStyle w:val="Normal"/>
        <w:framePr w:w="457" w:hAnchor="page" w:vAnchor="page" w:x="9569" w:y="5387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</w:pPr>
      <w:r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  <w:t>168 245</w:t>
      </w:r>
    </w:p>
    <w:p>
      <w:pPr>
        <w:pStyle w:val="Normal"/>
        <w:framePr w:w="335" w:hAnchor="page" w:vAnchor="page" w:x="11777" w:y="5387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</w:pPr>
      <w:r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  <w:t>Total</w:t>
      </w:r>
    </w:p>
    <w:p>
      <w:pPr>
        <w:pStyle w:val="Normal"/>
        <w:framePr w:w="153" w:hAnchor="page" w:vAnchor="page" w:x="12312" w:y="5387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9"/>
          <w:sz w:val="9"/>
          <w:szCs w:val="9"/>
        </w:rPr>
      </w:pPr>
      <w:r>
        <w:rPr>
          <w:rFonts w:ascii="OXPWFG+Arial-BoldMT" w:hAnsi="OXPWFG+Arial-BoldMT" w:fareast="OXPWFG+Arial-BoldMT" w:cs="OXPWFG+Arial-BoldMT"/>
          <w:color w:val="002144"/>
          <w:w w:val="99"/>
          <w:sz w:val="9"/>
          <w:szCs w:val="9"/>
        </w:rPr>
        <w:t>€</w:t>
      </w:r>
    </w:p>
    <w:p>
      <w:pPr>
        <w:pStyle w:val="Normal"/>
        <w:framePr w:w="153" w:hAnchor="page" w:vAnchor="page" w:x="12927" w:y="5387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9"/>
          <w:sz w:val="9"/>
          <w:szCs w:val="9"/>
        </w:rPr>
      </w:pPr>
      <w:r>
        <w:rPr>
          <w:rFonts w:ascii="OXPWFG+Arial-BoldMT" w:hAnsi="OXPWFG+Arial-BoldMT" w:fareast="OXPWFG+Arial-BoldMT" w:cs="OXPWFG+Arial-BoldMT"/>
          <w:color w:val="002144"/>
          <w:w w:val="99"/>
          <w:sz w:val="9"/>
          <w:szCs w:val="9"/>
        </w:rPr>
        <w:t>0</w:t>
      </w:r>
    </w:p>
    <w:p>
      <w:pPr>
        <w:pStyle w:val="Normal"/>
        <w:framePr w:w="153" w:hAnchor="page" w:vAnchor="page" w:x="13083" w:y="5387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9"/>
          <w:sz w:val="9"/>
          <w:szCs w:val="9"/>
        </w:rPr>
      </w:pPr>
      <w:r>
        <w:rPr>
          <w:rFonts w:ascii="OXPWFG+Arial-BoldMT" w:hAnsi="OXPWFG+Arial-BoldMT" w:fareast="OXPWFG+Arial-BoldMT" w:cs="OXPWFG+Arial-BoldMT"/>
          <w:color w:val="002144"/>
          <w:w w:val="99"/>
          <w:sz w:val="9"/>
          <w:szCs w:val="9"/>
        </w:rPr>
        <w:t>€</w:t>
      </w:r>
    </w:p>
    <w:p>
      <w:pPr>
        <w:pStyle w:val="Normal"/>
        <w:framePr w:w="457" w:hAnchor="page" w:vAnchor="page" w:x="13421" w:y="5387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</w:pPr>
      <w:r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  <w:t>158 125</w:t>
      </w:r>
    </w:p>
    <w:p>
      <w:pPr>
        <w:pStyle w:val="Normal"/>
        <w:framePr w:w="676" w:hAnchor="page" w:vAnchor="page" w:x="4579" w:y="5382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7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7"/>
          <w:sz w:val="9"/>
          <w:szCs w:val="9"/>
        </w:rPr>
        <w:t>To be verified</w:t>
      </w:r>
    </w:p>
    <w:p>
      <w:pPr>
        <w:pStyle w:val="Normal"/>
        <w:framePr w:w="103" w:hAnchor="page" w:vAnchor="page" w:x="3099" w:y="5382"/>
        <w:widowControl w:val="off"/>
        <w:autoSpaceDE w:val="off"/>
        <w:autoSpaceDN w:val="off"/>
        <w:spacing w:before="0" w:after="0" w:line="6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100"/>
          <w:sz w:val="6"/>
          <w:szCs w:val="6"/>
        </w:rPr>
      </w:pPr>
      <w:r>
        <w:rPr>
          <w:rFonts w:ascii="LDEEPM+ArialMT" w:hAnsi="LDEEPM+ArialMT" w:fareast="LDEEPM+ArialMT" w:cs="LDEEPM+ArialMT"/>
          <w:color w:val="002144"/>
          <w:w w:val="100"/>
          <w:sz w:val="6"/>
          <w:szCs w:val="6"/>
        </w:rPr>
        <w:t>2</w:t>
      </w:r>
    </w:p>
    <w:p>
      <w:pPr>
        <w:pStyle w:val="Normal"/>
        <w:framePr w:w="2320" w:hAnchor="page" w:vAnchor="page" w:x="4579" w:y="5236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  <w:t>BatiParis website). Last renovation November 2016.</w:t>
      </w:r>
    </w:p>
    <w:p>
      <w:pPr>
        <w:pStyle w:val="Normal"/>
        <w:framePr w:w="908" w:hAnchor="page" w:vAnchor="page" w:x="7661" w:y="5195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</w:pPr>
      <w:r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  <w:t>C. Environmental</w:t>
      </w:r>
    </w:p>
    <w:p>
      <w:pPr>
        <w:pStyle w:val="Normal"/>
        <w:framePr w:w="153" w:hAnchor="page" w:vAnchor="page" w:x="8460" w:y="5195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  <w:t>€</w:t>
      </w:r>
    </w:p>
    <w:p>
      <w:pPr>
        <w:pStyle w:val="Normal"/>
        <w:framePr w:w="153" w:hAnchor="page" w:vAnchor="page" w:x="9075" w:y="5195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  <w:t>0</w:t>
      </w:r>
    </w:p>
    <w:p>
      <w:pPr>
        <w:pStyle w:val="Normal"/>
        <w:framePr w:w="153" w:hAnchor="page" w:vAnchor="page" w:x="9231" w:y="5195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  <w:t>€</w:t>
      </w:r>
    </w:p>
    <w:p>
      <w:pPr>
        <w:pStyle w:val="Normal"/>
        <w:framePr w:w="153" w:hAnchor="page" w:vAnchor="page" w:x="9845" w:y="5195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  <w:t>0</w:t>
      </w:r>
    </w:p>
    <w:p>
      <w:pPr>
        <w:pStyle w:val="Normal"/>
        <w:framePr w:w="153" w:hAnchor="page" w:vAnchor="page" w:x="10001" w:y="5195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  <w:t>€</w:t>
      </w:r>
    </w:p>
    <w:p>
      <w:pPr>
        <w:pStyle w:val="Normal"/>
        <w:framePr w:w="153" w:hAnchor="page" w:vAnchor="page" w:x="10616" w:y="5195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  <w:t>0</w:t>
      </w:r>
    </w:p>
    <w:p>
      <w:pPr>
        <w:pStyle w:val="Normal"/>
        <w:framePr w:w="591" w:hAnchor="page" w:vAnchor="page" w:x="11513" w:y="5195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</w:pPr>
      <w:r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  <w:t>Years 6-10</w:t>
      </w:r>
    </w:p>
    <w:p>
      <w:pPr>
        <w:pStyle w:val="Normal"/>
        <w:framePr w:w="153" w:hAnchor="page" w:vAnchor="page" w:x="12312" w:y="5195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  <w:t>€</w:t>
      </w:r>
    </w:p>
    <w:p>
      <w:pPr>
        <w:pStyle w:val="Normal"/>
        <w:framePr w:w="153" w:hAnchor="page" w:vAnchor="page" w:x="12927" w:y="5195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  <w:t>0</w:t>
      </w:r>
    </w:p>
    <w:p>
      <w:pPr>
        <w:pStyle w:val="Normal"/>
        <w:framePr w:w="153" w:hAnchor="page" w:vAnchor="page" w:x="13083" w:y="5195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  <w:t>€</w:t>
      </w:r>
    </w:p>
    <w:p>
      <w:pPr>
        <w:pStyle w:val="Normal"/>
        <w:framePr w:w="401" w:hAnchor="page" w:vAnchor="page" w:x="13472" w:y="5195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100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100"/>
          <w:sz w:val="9"/>
          <w:szCs w:val="9"/>
        </w:rPr>
        <w:t>69 575</w:t>
      </w:r>
    </w:p>
    <w:p>
      <w:pPr>
        <w:pStyle w:val="Normal"/>
        <w:framePr w:w="153" w:hAnchor="page" w:vAnchor="page" w:x="13853" w:y="5195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  <w:t>€</w:t>
      </w:r>
    </w:p>
    <w:p>
      <w:pPr>
        <w:pStyle w:val="Normal"/>
        <w:framePr w:w="401" w:hAnchor="page" w:vAnchor="page" w:x="14242" w:y="5195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100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100"/>
          <w:sz w:val="9"/>
          <w:szCs w:val="9"/>
        </w:rPr>
        <w:t>69 575</w:t>
      </w:r>
    </w:p>
    <w:p>
      <w:pPr>
        <w:pStyle w:val="Normal"/>
        <w:framePr w:w="987" w:hAnchor="page" w:vAnchor="page" w:x="2268" w:y="5128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  <w:t>Year of construction:</w:t>
      </w:r>
    </w:p>
    <w:p>
      <w:pPr>
        <w:pStyle w:val="Normal"/>
        <w:framePr w:w="2594" w:hAnchor="page" w:vAnchor="page" w:x="4579" w:y="5128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  <w:t xml:space="preserve">Original construction around 1850-1914 (according to the </w:t>
      </w:r>
    </w:p>
    <w:p>
      <w:pPr>
        <w:pStyle w:val="Normal"/>
        <w:framePr w:w="1098" w:hAnchor="page" w:vAnchor="page" w:x="2220" w:y="5005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9"/>
          <w:sz w:val="9"/>
          <w:szCs w:val="9"/>
        </w:rPr>
      </w:pPr>
      <w:r>
        <w:rPr>
          <w:rFonts w:ascii="OXPWFG+Arial-BoldMT" w:hAnsi="OXPWFG+Arial-BoldMT" w:fareast="OXPWFG+Arial-BoldMT" w:cs="OXPWFG+Arial-BoldMT"/>
          <w:color w:val="002144"/>
          <w:w w:val="99"/>
          <w:sz w:val="9"/>
          <w:szCs w:val="9"/>
        </w:rPr>
        <w:t>Property information:</w:t>
      </w:r>
    </w:p>
    <w:p>
      <w:pPr>
        <w:pStyle w:val="Normal"/>
        <w:framePr w:w="628" w:hAnchor="page" w:vAnchor="page" w:x="7661" w:y="5005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</w:pPr>
      <w:r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  <w:t>B. Services</w:t>
      </w:r>
    </w:p>
    <w:p>
      <w:pPr>
        <w:pStyle w:val="Normal"/>
        <w:framePr w:w="153" w:hAnchor="page" w:vAnchor="page" w:x="8460" w:y="5005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  <w:t>€</w:t>
      </w:r>
    </w:p>
    <w:p>
      <w:pPr>
        <w:pStyle w:val="Normal"/>
        <w:framePr w:w="153" w:hAnchor="page" w:vAnchor="page" w:x="9075" w:y="5005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  <w:t>0</w:t>
      </w:r>
    </w:p>
    <w:p>
      <w:pPr>
        <w:pStyle w:val="Normal"/>
        <w:framePr w:w="153" w:hAnchor="page" w:vAnchor="page" w:x="9231" w:y="5005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  <w:t>€</w:t>
      </w:r>
    </w:p>
    <w:p>
      <w:pPr>
        <w:pStyle w:val="Normal"/>
        <w:framePr w:w="401" w:hAnchor="page" w:vAnchor="page" w:x="9619" w:y="5005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100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100"/>
          <w:sz w:val="9"/>
          <w:szCs w:val="9"/>
        </w:rPr>
        <w:t>69 575</w:t>
      </w:r>
    </w:p>
    <w:p>
      <w:pPr>
        <w:pStyle w:val="Normal"/>
        <w:framePr w:w="153" w:hAnchor="page" w:vAnchor="page" w:x="10001" w:y="5005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  <w:t>€</w:t>
      </w:r>
    </w:p>
    <w:p>
      <w:pPr>
        <w:pStyle w:val="Normal"/>
        <w:framePr w:w="401" w:hAnchor="page" w:vAnchor="page" w:x="10390" w:y="5005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100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100"/>
          <w:sz w:val="9"/>
          <w:szCs w:val="9"/>
        </w:rPr>
        <w:t>69 575</w:t>
      </w:r>
    </w:p>
    <w:p>
      <w:pPr>
        <w:pStyle w:val="Normal"/>
        <w:framePr w:w="536" w:hAnchor="page" w:vAnchor="page" w:x="11513" w:y="5005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</w:pPr>
      <w:r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  <w:t>Years 2-5</w:t>
      </w:r>
    </w:p>
    <w:p>
      <w:pPr>
        <w:pStyle w:val="Normal"/>
        <w:framePr w:w="153" w:hAnchor="page" w:vAnchor="page" w:x="12312" w:y="5005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  <w:t>€</w:t>
      </w:r>
    </w:p>
    <w:p>
      <w:pPr>
        <w:pStyle w:val="Normal"/>
        <w:framePr w:w="153" w:hAnchor="page" w:vAnchor="page" w:x="12927" w:y="5005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  <w:t>0</w:t>
      </w:r>
    </w:p>
    <w:p>
      <w:pPr>
        <w:pStyle w:val="Normal"/>
        <w:framePr w:w="153" w:hAnchor="page" w:vAnchor="page" w:x="13083" w:y="5005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  <w:t>€</w:t>
      </w:r>
    </w:p>
    <w:p>
      <w:pPr>
        <w:pStyle w:val="Normal"/>
        <w:framePr w:w="401" w:hAnchor="page" w:vAnchor="page" w:x="13472" w:y="5005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100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100"/>
          <w:sz w:val="9"/>
          <w:szCs w:val="9"/>
        </w:rPr>
        <w:t>88 550</w:t>
      </w:r>
    </w:p>
    <w:p>
      <w:pPr>
        <w:pStyle w:val="Normal"/>
        <w:framePr w:w="153" w:hAnchor="page" w:vAnchor="page" w:x="13853" w:y="5005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  <w:t>€</w:t>
      </w:r>
    </w:p>
    <w:p>
      <w:pPr>
        <w:pStyle w:val="Normal"/>
        <w:framePr w:w="401" w:hAnchor="page" w:vAnchor="page" w:x="14242" w:y="5005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100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100"/>
          <w:sz w:val="9"/>
          <w:szCs w:val="9"/>
        </w:rPr>
        <w:t>88 550</w:t>
      </w:r>
    </w:p>
    <w:p>
      <w:pPr>
        <w:pStyle w:val="Normal"/>
        <w:framePr w:w="518" w:hAnchor="page" w:vAnchor="page" w:x="7661" w:y="4878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9"/>
          <w:sz w:val="9"/>
          <w:szCs w:val="9"/>
        </w:rPr>
      </w:pPr>
      <w:r>
        <w:rPr>
          <w:rFonts w:ascii="OXPWFG+Arial-BoldMT" w:hAnsi="OXPWFG+Arial-BoldMT" w:fareast="OXPWFG+Arial-BoldMT" w:cs="OXPWFG+Arial-BoldMT"/>
          <w:color w:val="002144"/>
          <w:w w:val="99"/>
          <w:sz w:val="9"/>
          <w:szCs w:val="9"/>
        </w:rPr>
        <w:t>A. Fabric</w:t>
      </w:r>
    </w:p>
    <w:p>
      <w:pPr>
        <w:pStyle w:val="Normal"/>
        <w:framePr w:w="153" w:hAnchor="page" w:vAnchor="page" w:x="8460" w:y="4878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  <w:t>€</w:t>
      </w:r>
    </w:p>
    <w:p>
      <w:pPr>
        <w:pStyle w:val="Normal"/>
        <w:framePr w:w="153" w:hAnchor="page" w:vAnchor="page" w:x="9075" w:y="4878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  <w:t>0</w:t>
      </w:r>
    </w:p>
    <w:p>
      <w:pPr>
        <w:pStyle w:val="Normal"/>
        <w:framePr w:w="153" w:hAnchor="page" w:vAnchor="page" w:x="9231" w:y="4878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  <w:t>€</w:t>
      </w:r>
    </w:p>
    <w:p>
      <w:pPr>
        <w:pStyle w:val="Normal"/>
        <w:framePr w:w="401" w:hAnchor="page" w:vAnchor="page" w:x="9619" w:y="4878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100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100"/>
          <w:sz w:val="9"/>
          <w:szCs w:val="9"/>
        </w:rPr>
        <w:t>98 670</w:t>
      </w:r>
    </w:p>
    <w:p>
      <w:pPr>
        <w:pStyle w:val="Normal"/>
        <w:framePr w:w="153" w:hAnchor="page" w:vAnchor="page" w:x="10001" w:y="4878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  <w:t>€</w:t>
      </w:r>
    </w:p>
    <w:p>
      <w:pPr>
        <w:pStyle w:val="Normal"/>
        <w:framePr w:w="401" w:hAnchor="page" w:vAnchor="page" w:x="10390" w:y="4878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100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100"/>
          <w:sz w:val="9"/>
          <w:szCs w:val="9"/>
        </w:rPr>
        <w:t>98 670</w:t>
      </w:r>
    </w:p>
    <w:p>
      <w:pPr>
        <w:pStyle w:val="Normal"/>
        <w:framePr w:w="393" w:hAnchor="page" w:vAnchor="page" w:x="11513" w:y="4878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</w:pPr>
      <w:r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  <w:t>Year 1</w:t>
      </w:r>
    </w:p>
    <w:p>
      <w:pPr>
        <w:pStyle w:val="Normal"/>
        <w:framePr w:w="153" w:hAnchor="page" w:vAnchor="page" w:x="12312" w:y="4878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  <w:t>€</w:t>
      </w:r>
    </w:p>
    <w:p>
      <w:pPr>
        <w:pStyle w:val="Normal"/>
        <w:framePr w:w="153" w:hAnchor="page" w:vAnchor="page" w:x="12927" w:y="4878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  <w:t>0</w:t>
      </w:r>
    </w:p>
    <w:p>
      <w:pPr>
        <w:pStyle w:val="Normal"/>
        <w:framePr w:w="153" w:hAnchor="page" w:vAnchor="page" w:x="13083" w:y="4878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  <w:t>€</w:t>
      </w:r>
    </w:p>
    <w:p>
      <w:pPr>
        <w:pStyle w:val="Normal"/>
        <w:framePr w:w="153" w:hAnchor="page" w:vAnchor="page" w:x="13697" w:y="4878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  <w:t>0</w:t>
      </w:r>
    </w:p>
    <w:p>
      <w:pPr>
        <w:pStyle w:val="Normal"/>
        <w:framePr w:w="153" w:hAnchor="page" w:vAnchor="page" w:x="13853" w:y="4878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  <w:t>€</w:t>
      </w:r>
    </w:p>
    <w:p>
      <w:pPr>
        <w:pStyle w:val="Normal"/>
        <w:framePr w:w="153" w:hAnchor="page" w:vAnchor="page" w:x="14468" w:y="4878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  <w:t>0</w:t>
      </w:r>
    </w:p>
    <w:p>
      <w:pPr>
        <w:pStyle w:val="Normal"/>
        <w:framePr w:w="681" w:hAnchor="page" w:vAnchor="page" w:x="8542" w:y="4734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</w:pPr>
      <w:r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  <w:t xml:space="preserve">recoverable </w:t>
      </w:r>
    </w:p>
    <w:p>
      <w:pPr>
        <w:pStyle w:val="Normal"/>
        <w:framePr w:w="303" w:hAnchor="page" w:vAnchor="page" w:x="9473" w:y="4734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</w:pPr>
      <w:r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  <w:t>cost</w:t>
      </w:r>
    </w:p>
    <w:p>
      <w:pPr>
        <w:pStyle w:val="Normal"/>
        <w:framePr w:w="681" w:hAnchor="page" w:vAnchor="page" w:x="12394" w:y="4734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</w:pPr>
      <w:r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  <w:t xml:space="preserve">recoverable </w:t>
      </w:r>
    </w:p>
    <w:p>
      <w:pPr>
        <w:pStyle w:val="Normal"/>
        <w:framePr w:w="303" w:hAnchor="page" w:vAnchor="page" w:x="13325" w:y="4734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</w:pPr>
      <w:r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  <w:t>cost</w:t>
      </w:r>
    </w:p>
    <w:p>
      <w:pPr>
        <w:pStyle w:val="Normal"/>
        <w:framePr w:w="483" w:hAnchor="page" w:vAnchor="page" w:x="7846" w:y="4624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</w:pPr>
      <w:r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  <w:t>Element</w:t>
      </w:r>
    </w:p>
    <w:p>
      <w:pPr>
        <w:pStyle w:val="Normal"/>
        <w:framePr w:w="816" w:hAnchor="page" w:vAnchor="page" w:x="8467" w:y="4621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</w:pPr>
      <w:r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  <w:t>Service Charge</w:t>
      </w:r>
    </w:p>
    <w:p>
      <w:pPr>
        <w:pStyle w:val="Normal"/>
        <w:framePr w:w="794" w:hAnchor="page" w:vAnchor="page" w:x="9262" w:y="4621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</w:pPr>
      <w:r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  <w:t xml:space="preserve">Capex / owner </w:t>
      </w:r>
    </w:p>
    <w:p>
      <w:pPr>
        <w:pStyle w:val="Normal"/>
        <w:framePr w:w="335" w:hAnchor="page" w:vAnchor="page" w:x="10229" w:y="4621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</w:pPr>
      <w:r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  <w:t>Total</w:t>
      </w:r>
    </w:p>
    <w:p>
      <w:pPr>
        <w:pStyle w:val="Normal"/>
        <w:framePr w:w="314" w:hAnchor="page" w:vAnchor="page" w:x="11787" w:y="4624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</w:pPr>
      <w:r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  <w:t>Year</w:t>
      </w:r>
    </w:p>
    <w:p>
      <w:pPr>
        <w:pStyle w:val="Normal"/>
        <w:framePr w:w="844" w:hAnchor="page" w:vAnchor="page" w:x="12319" w:y="4621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</w:pPr>
      <w:r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  <w:t xml:space="preserve">Service Charge </w:t>
      </w:r>
    </w:p>
    <w:p>
      <w:pPr>
        <w:pStyle w:val="Normal"/>
        <w:framePr w:w="794" w:hAnchor="page" w:vAnchor="page" w:x="13114" w:y="4621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</w:pPr>
      <w:r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  <w:t xml:space="preserve">Capex / owner </w:t>
      </w:r>
    </w:p>
    <w:p>
      <w:pPr>
        <w:pStyle w:val="Normal"/>
        <w:framePr w:w="335" w:hAnchor="page" w:vAnchor="page" w:x="14081" w:y="4621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</w:pPr>
      <w:r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  <w:t>Total</w:t>
      </w:r>
    </w:p>
    <w:p>
      <w:pPr>
        <w:pStyle w:val="Normal"/>
        <w:framePr w:w="1068" w:hAnchor="page" w:vAnchor="page" w:x="8613" w:y="4183"/>
        <w:widowControl w:val="off"/>
        <w:autoSpaceDE w:val="off"/>
        <w:autoSpaceDN w:val="off"/>
        <w:spacing w:before="0" w:after="0" w:line="83" w:lineRule="exact"/>
        <w:ind w:left="0" w:right="0" w:first-line="0"/>
        <w:jc w:val="left"/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</w:pPr>
      <w:r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  <w:t>Service Charge recoverable</w:t>
      </w:r>
    </w:p>
    <w:p>
      <w:pPr>
        <w:pStyle w:val="Normal"/>
        <w:framePr w:w="786" w:hAnchor="page" w:vAnchor="page" w:x="9723" w:y="4183"/>
        <w:widowControl w:val="off"/>
        <w:autoSpaceDE w:val="off"/>
        <w:autoSpaceDN w:val="off"/>
        <w:spacing w:before="0" w:after="0" w:line="83" w:lineRule="exact"/>
        <w:ind w:left="0" w:right="0" w:first-line="0"/>
        <w:jc w:val="left"/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</w:pPr>
      <w:r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  <w:t>Capex / owner cost</w:t>
      </w:r>
    </w:p>
    <w:p>
      <w:pPr>
        <w:pStyle w:val="Normal"/>
        <w:framePr w:w="1068" w:hAnchor="page" w:vAnchor="page" w:x="12020" w:y="4186"/>
        <w:widowControl w:val="off"/>
        <w:autoSpaceDE w:val="off"/>
        <w:autoSpaceDN w:val="off"/>
        <w:spacing w:before="0" w:after="0" w:line="83" w:lineRule="exact"/>
        <w:ind w:left="0" w:right="0" w:first-line="0"/>
        <w:jc w:val="left"/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</w:pPr>
      <w:r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  <w:t>Service Charge recoverable</w:t>
      </w:r>
    </w:p>
    <w:p>
      <w:pPr>
        <w:pStyle w:val="Normal"/>
        <w:framePr w:w="786" w:hAnchor="page" w:vAnchor="page" w:x="13130" w:y="4186"/>
        <w:widowControl w:val="off"/>
        <w:autoSpaceDE w:val="off"/>
        <w:autoSpaceDN w:val="off"/>
        <w:spacing w:before="0" w:after="0" w:line="83" w:lineRule="exact"/>
        <w:ind w:left="0" w:right="0" w:first-line="0"/>
        <w:jc w:val="left"/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</w:pPr>
      <w:r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  <w:t>Capex / owner cost</w:t>
      </w:r>
    </w:p>
    <w:p>
      <w:pPr>
        <w:pStyle w:val="Normal"/>
        <w:framePr w:w="315" w:hAnchor="page" w:vAnchor="page" w:x="11956" w:y="4093"/>
        <w:widowControl w:val="off"/>
        <w:autoSpaceDE w:val="off"/>
        <w:autoSpaceDN w:val="off"/>
        <w:spacing w:before="0" w:after="0" w:line="83" w:lineRule="exact"/>
        <w:ind w:left="0" w:right="0" w:first-line="0"/>
        <w:jc w:val="left"/>
        <w:rPr>
          <w:rFonts w:ascii="KMNTBO+Calibri-Bold" w:hAnsi="KMNTBO+Calibri-Bold" w:fareast="KMNTBO+Calibri-Bold" w:cs="KMNTBO+Calibri-Bold"/>
          <w:color w:val="002144"/>
          <w:w w:val="99"/>
          <w:sz w:val="8"/>
          <w:szCs w:val="8"/>
        </w:rPr>
      </w:pPr>
      <w:r>
        <w:rPr>
          <w:rFonts w:ascii="KMNTBO+Calibri-Bold" w:hAnsi="KMNTBO+Calibri-Bold" w:fareast="KMNTBO+Calibri-Bold" w:cs="KMNTBO+Calibri-Bold"/>
          <w:color w:val="002144"/>
          <w:w w:val="99"/>
          <w:sz w:val="8"/>
          <w:szCs w:val="8"/>
        </w:rPr>
        <w:t>Year 1</w:t>
      </w:r>
    </w:p>
    <w:p>
      <w:pPr>
        <w:pStyle w:val="Normal"/>
        <w:framePr w:w="420" w:hAnchor="page" w:vAnchor="page" w:x="12863" w:y="4093"/>
        <w:widowControl w:val="off"/>
        <w:autoSpaceDE w:val="off"/>
        <w:autoSpaceDN w:val="off"/>
        <w:spacing w:before="0" w:after="0" w:line="83" w:lineRule="exact"/>
        <w:ind w:left="0" w:right="0" w:first-line="0"/>
        <w:jc w:val="left"/>
        <w:rPr>
          <w:rFonts w:ascii="KMNTBO+Calibri-Bold" w:hAnsi="KMNTBO+Calibri-Bold" w:fareast="KMNTBO+Calibri-Bold" w:cs="KMNTBO+Calibri-Bold"/>
          <w:color w:val="002144"/>
          <w:w w:val="99"/>
          <w:sz w:val="8"/>
          <w:szCs w:val="8"/>
        </w:rPr>
      </w:pPr>
      <w:r>
        <w:rPr>
          <w:rFonts w:ascii="KMNTBO+Calibri-Bold" w:hAnsi="KMNTBO+Calibri-Bold" w:fareast="KMNTBO+Calibri-Bold" w:cs="KMNTBO+Calibri-Bold"/>
          <w:color w:val="002144"/>
          <w:w w:val="99"/>
          <w:sz w:val="8"/>
          <w:szCs w:val="8"/>
        </w:rPr>
        <w:t>Years 2-5</w:t>
      </w:r>
    </w:p>
    <w:p>
      <w:pPr>
        <w:pStyle w:val="Normal"/>
        <w:framePr w:w="464" w:hAnchor="page" w:vAnchor="page" w:x="13797" w:y="4093"/>
        <w:widowControl w:val="off"/>
        <w:autoSpaceDE w:val="off"/>
        <w:autoSpaceDN w:val="off"/>
        <w:spacing w:before="0" w:after="0" w:line="83" w:lineRule="exact"/>
        <w:ind w:left="0" w:right="0" w:first-line="0"/>
        <w:jc w:val="left"/>
        <w:rPr>
          <w:rFonts w:ascii="KMNTBO+Calibri-Bold" w:hAnsi="KMNTBO+Calibri-Bold" w:fareast="KMNTBO+Calibri-Bold" w:cs="KMNTBO+Calibri-Bold"/>
          <w:color w:val="002144"/>
          <w:w w:val="99"/>
          <w:sz w:val="8"/>
          <w:szCs w:val="8"/>
        </w:rPr>
      </w:pPr>
      <w:r>
        <w:rPr>
          <w:rFonts w:ascii="KMNTBO+Calibri-Bold" w:hAnsi="KMNTBO+Calibri-Bold" w:fareast="KMNTBO+Calibri-Bold" w:cs="KMNTBO+Calibri-Bold"/>
          <w:color w:val="002144"/>
          <w:w w:val="99"/>
          <w:sz w:val="8"/>
          <w:szCs w:val="8"/>
        </w:rPr>
        <w:t>Years 6-10</w:t>
      </w:r>
    </w:p>
    <w:p>
      <w:pPr>
        <w:pStyle w:val="Normal"/>
        <w:framePr w:w="402" w:hAnchor="page" w:vAnchor="page" w:x="8536" w:y="4007"/>
        <w:widowControl w:val="off"/>
        <w:autoSpaceDE w:val="off"/>
        <w:autoSpaceDN w:val="off"/>
        <w:spacing w:before="0" w:after="0" w:line="83" w:lineRule="exact"/>
        <w:ind w:left="0" w:right="0" w:first-line="0"/>
        <w:jc w:val="left"/>
        <w:rPr>
          <w:rFonts w:ascii="KMNTBO+Calibri-Bold" w:hAnsi="KMNTBO+Calibri-Bold" w:fareast="KMNTBO+Calibri-Bold" w:cs="KMNTBO+Calibri-Bold"/>
          <w:color w:val="002144"/>
          <w:w w:val="99"/>
          <w:sz w:val="8"/>
          <w:szCs w:val="8"/>
        </w:rPr>
      </w:pPr>
      <w:r>
        <w:rPr>
          <w:rFonts w:ascii="KMNTBO+Calibri-Bold" w:hAnsi="KMNTBO+Calibri-Bold" w:fareast="KMNTBO+Calibri-Bold" w:cs="KMNTBO+Calibri-Bold"/>
          <w:color w:val="002144"/>
          <w:w w:val="99"/>
          <w:sz w:val="8"/>
          <w:szCs w:val="8"/>
        </w:rPr>
        <w:t>A. Fabric</w:t>
      </w:r>
    </w:p>
    <w:p>
      <w:pPr>
        <w:pStyle w:val="Normal"/>
        <w:framePr w:w="474" w:hAnchor="page" w:vAnchor="page" w:x="9448" w:y="4007"/>
        <w:widowControl w:val="off"/>
        <w:autoSpaceDE w:val="off"/>
        <w:autoSpaceDN w:val="off"/>
        <w:spacing w:before="0" w:after="0" w:line="83" w:lineRule="exact"/>
        <w:ind w:left="0" w:right="0" w:first-line="0"/>
        <w:jc w:val="left"/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</w:pPr>
      <w:r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  <w:t>B. Services</w:t>
      </w:r>
    </w:p>
    <w:p>
      <w:pPr>
        <w:pStyle w:val="Normal"/>
        <w:framePr w:w="710" w:hAnchor="page" w:vAnchor="page" w:x="10285" w:y="4007"/>
        <w:widowControl w:val="off"/>
        <w:autoSpaceDE w:val="off"/>
        <w:autoSpaceDN w:val="off"/>
        <w:spacing w:before="0" w:after="0" w:line="83" w:lineRule="exact"/>
        <w:ind w:left="0" w:right="0" w:first-line="0"/>
        <w:jc w:val="left"/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</w:pPr>
      <w:r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  <w:t>C. Environmental</w:t>
      </w:r>
    </w:p>
    <w:p>
      <w:pPr>
        <w:pStyle w:val="Normal"/>
        <w:framePr w:w="196" w:hAnchor="page" w:vAnchor="page" w:x="11410" w:y="3990"/>
        <w:widowControl w:val="off"/>
        <w:autoSpaceDE w:val="off"/>
        <w:autoSpaceDN w:val="off"/>
        <w:spacing w:before="0" w:after="0" w:line="83" w:lineRule="exact"/>
        <w:ind w:left="0" w:right="0" w:first-line="0"/>
        <w:jc w:val="left"/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</w:pPr>
      <w:r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  <w:t xml:space="preserve">€0 </w:t>
      </w:r>
    </w:p>
    <w:p>
      <w:pPr>
        <w:pStyle w:val="Normal"/>
        <w:framePr w:w="196" w:hAnchor="page" w:vAnchor="page" w:x="8035" w:y="3904"/>
        <w:widowControl w:val="off"/>
        <w:autoSpaceDE w:val="off"/>
        <w:autoSpaceDN w:val="off"/>
        <w:spacing w:before="0" w:after="0" w:line="83" w:lineRule="exact"/>
        <w:ind w:left="0" w:right="0" w:first-line="0"/>
        <w:jc w:val="left"/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</w:pPr>
      <w:r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  <w:t xml:space="preserve">€0 </w:t>
      </w:r>
    </w:p>
    <w:p>
      <w:pPr>
        <w:pStyle w:val="Normal"/>
        <w:framePr w:w="392" w:hAnchor="page" w:vAnchor="page" w:x="11231" w:y="3796"/>
        <w:widowControl w:val="off"/>
        <w:autoSpaceDE w:val="off"/>
        <w:autoSpaceDN w:val="off"/>
        <w:spacing w:before="0" w:after="0" w:line="83" w:lineRule="exact"/>
        <w:ind w:left="0" w:right="0" w:first-line="0"/>
        <w:jc w:val="left"/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</w:pPr>
      <w:r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  <w:t xml:space="preserve">€10 000 </w:t>
      </w:r>
    </w:p>
    <w:p>
      <w:pPr>
        <w:pStyle w:val="Normal"/>
        <w:framePr w:w="392" w:hAnchor="page" w:vAnchor="page" w:x="7856" w:y="3600"/>
        <w:widowControl w:val="off"/>
        <w:autoSpaceDE w:val="off"/>
        <w:autoSpaceDN w:val="off"/>
        <w:spacing w:before="0" w:after="0" w:line="83" w:lineRule="exact"/>
        <w:ind w:left="0" w:right="0" w:first-line="0"/>
        <w:jc w:val="left"/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</w:pPr>
      <w:r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  <w:t xml:space="preserve">€20 000 </w:t>
      </w:r>
    </w:p>
    <w:p>
      <w:pPr>
        <w:pStyle w:val="Normal"/>
        <w:framePr w:w="392" w:hAnchor="page" w:vAnchor="page" w:x="11231" w:y="3603"/>
        <w:widowControl w:val="off"/>
        <w:autoSpaceDE w:val="off"/>
        <w:autoSpaceDN w:val="off"/>
        <w:spacing w:before="0" w:after="0" w:line="83" w:lineRule="exact"/>
        <w:ind w:left="0" w:right="0" w:first-line="0"/>
        <w:jc w:val="left"/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</w:pPr>
      <w:r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  <w:t xml:space="preserve">€20 000 </w:t>
      </w:r>
    </w:p>
    <w:p>
      <w:pPr>
        <w:pStyle w:val="Normal"/>
        <w:framePr w:w="392" w:hAnchor="page" w:vAnchor="page" w:x="11231" w:y="3409"/>
        <w:widowControl w:val="off"/>
        <w:autoSpaceDE w:val="off"/>
        <w:autoSpaceDN w:val="off"/>
        <w:spacing w:before="0" w:after="0" w:line="83" w:lineRule="exact"/>
        <w:ind w:left="0" w:right="0" w:first-line="0"/>
        <w:jc w:val="left"/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</w:pPr>
      <w:r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  <w:t xml:space="preserve">€30 000 </w:t>
      </w:r>
    </w:p>
    <w:p>
      <w:pPr>
        <w:pStyle w:val="Normal"/>
        <w:framePr w:w="392" w:hAnchor="page" w:vAnchor="page" w:x="7856" w:y="3295"/>
        <w:widowControl w:val="off"/>
        <w:autoSpaceDE w:val="off"/>
        <w:autoSpaceDN w:val="off"/>
        <w:spacing w:before="0" w:after="0" w:line="83" w:lineRule="exact"/>
        <w:ind w:left="0" w:right="0" w:first-line="0"/>
        <w:jc w:val="left"/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</w:pPr>
      <w:r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  <w:t xml:space="preserve">€40 000 </w:t>
      </w:r>
    </w:p>
    <w:p>
      <w:pPr>
        <w:pStyle w:val="Normal"/>
        <w:framePr w:w="392" w:hAnchor="page" w:vAnchor="page" w:x="11231" w:y="3215"/>
        <w:widowControl w:val="off"/>
        <w:autoSpaceDE w:val="off"/>
        <w:autoSpaceDN w:val="off"/>
        <w:spacing w:before="0" w:after="0" w:line="83" w:lineRule="exact"/>
        <w:ind w:left="0" w:right="0" w:first-line="0"/>
        <w:jc w:val="left"/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</w:pPr>
      <w:r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  <w:t xml:space="preserve">€40 000 </w:t>
      </w:r>
    </w:p>
    <w:p>
      <w:pPr>
        <w:pStyle w:val="Normal"/>
        <w:framePr w:w="392" w:hAnchor="page" w:vAnchor="page" w:x="11231" w:y="3021"/>
        <w:widowControl w:val="off"/>
        <w:autoSpaceDE w:val="off"/>
        <w:autoSpaceDN w:val="off"/>
        <w:spacing w:before="0" w:after="0" w:line="83" w:lineRule="exact"/>
        <w:ind w:left="0" w:right="0" w:first-line="0"/>
        <w:jc w:val="left"/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</w:pPr>
      <w:r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  <w:t xml:space="preserve">€50 000 </w:t>
      </w:r>
    </w:p>
    <w:p>
      <w:pPr>
        <w:pStyle w:val="Normal"/>
        <w:framePr w:w="392" w:hAnchor="page" w:vAnchor="page" w:x="7856" w:y="2990"/>
        <w:widowControl w:val="off"/>
        <w:autoSpaceDE w:val="off"/>
        <w:autoSpaceDN w:val="off"/>
        <w:spacing w:before="0" w:after="0" w:line="83" w:lineRule="exact"/>
        <w:ind w:left="0" w:right="0" w:first-line="0"/>
        <w:jc w:val="left"/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</w:pPr>
      <w:r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  <w:t xml:space="preserve">€60 000 </w:t>
      </w:r>
    </w:p>
    <w:p>
      <w:pPr>
        <w:pStyle w:val="Normal"/>
        <w:framePr w:w="392" w:hAnchor="page" w:vAnchor="page" w:x="11231" w:y="2827"/>
        <w:widowControl w:val="off"/>
        <w:autoSpaceDE w:val="off"/>
        <w:autoSpaceDN w:val="off"/>
        <w:spacing w:before="0" w:after="0" w:line="83" w:lineRule="exact"/>
        <w:ind w:left="0" w:right="0" w:first-line="0"/>
        <w:jc w:val="left"/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</w:pPr>
      <w:r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  <w:t xml:space="preserve">€60 000 </w:t>
      </w:r>
    </w:p>
    <w:p>
      <w:pPr>
        <w:pStyle w:val="Normal"/>
        <w:framePr w:w="392" w:hAnchor="page" w:vAnchor="page" w:x="7856" w:y="2686"/>
        <w:widowControl w:val="off"/>
        <w:autoSpaceDE w:val="off"/>
        <w:autoSpaceDN w:val="off"/>
        <w:spacing w:before="0" w:after="0" w:line="83" w:lineRule="exact"/>
        <w:ind w:left="0" w:right="0" w:first-line="0"/>
        <w:jc w:val="left"/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</w:pPr>
      <w:r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  <w:t xml:space="preserve">€80 000 </w:t>
      </w:r>
    </w:p>
    <w:p>
      <w:pPr>
        <w:pStyle w:val="Normal"/>
        <w:framePr w:w="392" w:hAnchor="page" w:vAnchor="page" w:x="11231" w:y="2633"/>
        <w:widowControl w:val="off"/>
        <w:autoSpaceDE w:val="off"/>
        <w:autoSpaceDN w:val="off"/>
        <w:spacing w:before="0" w:after="0" w:line="83" w:lineRule="exact"/>
        <w:ind w:left="0" w:right="0" w:first-line="0"/>
        <w:jc w:val="left"/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</w:pPr>
      <w:r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  <w:t xml:space="preserve">€70 000 </w:t>
      </w:r>
    </w:p>
    <w:p>
      <w:pPr>
        <w:pStyle w:val="Normal"/>
        <w:framePr w:w="392" w:hAnchor="page" w:vAnchor="page" w:x="11231" w:y="2439"/>
        <w:widowControl w:val="off"/>
        <w:autoSpaceDE w:val="off"/>
        <w:autoSpaceDN w:val="off"/>
        <w:spacing w:before="0" w:after="0" w:line="83" w:lineRule="exact"/>
        <w:ind w:left="0" w:right="0" w:first-line="0"/>
        <w:jc w:val="left"/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</w:pPr>
      <w:r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  <w:t xml:space="preserve">€80 000 </w:t>
      </w:r>
    </w:p>
    <w:p>
      <w:pPr>
        <w:pStyle w:val="Normal"/>
        <w:framePr w:w="437" w:hAnchor="page" w:vAnchor="page" w:x="7816" w:y="2381"/>
        <w:widowControl w:val="off"/>
        <w:autoSpaceDE w:val="off"/>
        <w:autoSpaceDN w:val="off"/>
        <w:spacing w:before="0" w:after="0" w:line="83" w:lineRule="exact"/>
        <w:ind w:left="0" w:right="0" w:first-line="0"/>
        <w:jc w:val="left"/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</w:pPr>
      <w:r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  <w:t xml:space="preserve">€100 000 </w:t>
      </w:r>
    </w:p>
    <w:p>
      <w:pPr>
        <w:pStyle w:val="Normal"/>
        <w:framePr w:w="1293" w:hAnchor="page" w:vAnchor="page" w:x="2268" w:y="2329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  <w:t>Version - Report issue date:</w:t>
      </w:r>
    </w:p>
    <w:p>
      <w:pPr>
        <w:pStyle w:val="Normal"/>
        <w:framePr w:w="594" w:hAnchor="page" w:vAnchor="page" w:x="4579" w:y="2329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100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100"/>
          <w:sz w:val="9"/>
          <w:szCs w:val="9"/>
        </w:rPr>
        <w:t>01.12.2023</w:t>
      </w:r>
    </w:p>
    <w:p>
      <w:pPr>
        <w:pStyle w:val="Normal"/>
        <w:framePr w:w="392" w:hAnchor="page" w:vAnchor="page" w:x="11231" w:y="2245"/>
        <w:widowControl w:val="off"/>
        <w:autoSpaceDE w:val="off"/>
        <w:autoSpaceDN w:val="off"/>
        <w:spacing w:before="0" w:after="0" w:line="83" w:lineRule="exact"/>
        <w:ind w:left="0" w:right="0" w:first-line="0"/>
        <w:jc w:val="left"/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</w:pPr>
      <w:r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  <w:t xml:space="preserve">€90 000 </w:t>
      </w:r>
    </w:p>
    <w:p>
      <w:pPr>
        <w:pStyle w:val="Normal"/>
        <w:framePr w:w="686" w:hAnchor="page" w:vAnchor="page" w:x="2268" w:y="2202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6"/>
          <w:sz w:val="9"/>
          <w:szCs w:val="9"/>
        </w:rPr>
        <w:t>Site visit date:</w:t>
      </w:r>
    </w:p>
    <w:p>
      <w:pPr>
        <w:pStyle w:val="Normal"/>
        <w:framePr w:w="929" w:hAnchor="page" w:vAnchor="page" w:x="4579" w:y="2202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  <w:t>16 November 2023</w:t>
      </w:r>
    </w:p>
    <w:p>
      <w:pPr>
        <w:pStyle w:val="Normal"/>
        <w:framePr w:w="828" w:hAnchor="page" w:vAnchor="page" w:x="2268" w:y="2075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  <w:t>Purpose of TDD:</w:t>
      </w:r>
    </w:p>
    <w:p>
      <w:pPr>
        <w:pStyle w:val="Normal"/>
        <w:framePr w:w="1042" w:hAnchor="page" w:vAnchor="page" w:x="4579" w:y="2077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99"/>
          <w:sz w:val="9"/>
          <w:szCs w:val="9"/>
        </w:rPr>
      </w:pPr>
      <w:r>
        <w:rPr>
          <w:rFonts w:ascii="LDEEPM+ArialMT" w:hAnsi="LDEEPM+ArialMT" w:fareast="LDEEPM+ArialMT" w:cs="LDEEPM+ArialMT"/>
          <w:color w:val="000000"/>
          <w:w w:val="99"/>
          <w:sz w:val="9"/>
          <w:szCs w:val="9"/>
        </w:rPr>
        <w:t>Red Flag TDD Report</w:t>
      </w:r>
    </w:p>
    <w:p>
      <w:pPr>
        <w:pStyle w:val="Normal"/>
        <w:framePr w:w="437" w:hAnchor="page" w:vAnchor="page" w:x="7816" w:y="2076"/>
        <w:widowControl w:val="off"/>
        <w:autoSpaceDE w:val="off"/>
        <w:autoSpaceDN w:val="off"/>
        <w:spacing w:before="0" w:after="0" w:line="83" w:lineRule="exact"/>
        <w:ind w:left="0" w:right="0" w:first-line="0"/>
        <w:jc w:val="left"/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</w:pPr>
      <w:r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  <w:t xml:space="preserve">€120 000 </w:t>
      </w:r>
    </w:p>
    <w:p>
      <w:pPr>
        <w:pStyle w:val="Normal"/>
        <w:framePr w:w="437" w:hAnchor="page" w:vAnchor="page" w:x="11191" w:y="2051"/>
        <w:widowControl w:val="off"/>
        <w:autoSpaceDE w:val="off"/>
        <w:autoSpaceDN w:val="off"/>
        <w:spacing w:before="0" w:after="0" w:line="83" w:lineRule="exact"/>
        <w:ind w:left="0" w:right="0" w:first-line="0"/>
        <w:jc w:val="left"/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</w:pPr>
      <w:r>
        <w:rPr>
          <w:rFonts w:ascii="KMNTBO+Calibri-Bold" w:hAnsi="KMNTBO+Calibri-Bold" w:fareast="KMNTBO+Calibri-Bold" w:cs="KMNTBO+Calibri-Bold"/>
          <w:color w:val="002144"/>
          <w:w w:val="100"/>
          <w:sz w:val="8"/>
          <w:szCs w:val="8"/>
        </w:rPr>
        <w:t xml:space="preserve">€100 000 </w:t>
      </w:r>
    </w:p>
    <w:p>
      <w:pPr>
        <w:pStyle w:val="Normal"/>
        <w:framePr w:w="860" w:hAnchor="page" w:vAnchor="page" w:x="2268" w:y="1948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8"/>
          <w:sz w:val="9"/>
          <w:szCs w:val="9"/>
        </w:rPr>
        <w:t>Property address:</w:t>
      </w:r>
    </w:p>
    <w:p>
      <w:pPr>
        <w:pStyle w:val="Normal"/>
        <w:framePr w:w="2183" w:hAnchor="page" w:vAnchor="page" w:x="4579" w:y="1948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</w:pPr>
      <w:r>
        <w:rPr>
          <w:rFonts w:ascii="LDEEPM+ArialMT" w:hAnsi="LDEEPM+ArialMT" w:fareast="LDEEPM+ArialMT" w:cs="LDEEPM+ArialMT"/>
          <w:color w:val="002144"/>
          <w:w w:val="99"/>
          <w:sz w:val="9"/>
          <w:szCs w:val="9"/>
        </w:rPr>
        <w:t>23/25 Rue du Pont Neuf, 75001 Paris, FRANCE</w:t>
      </w:r>
    </w:p>
    <w:p>
      <w:pPr>
        <w:pStyle w:val="Normal"/>
        <w:framePr w:w="681" w:hAnchor="page" w:vAnchor="page" w:x="7661" w:y="1825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</w:pPr>
      <w:r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  <w:t>Capex costs</w:t>
      </w:r>
    </w:p>
    <w:p>
      <w:pPr>
        <w:pStyle w:val="Normal"/>
        <w:framePr w:w="1064" w:hAnchor="page" w:vAnchor="page" w:x="2268" w:y="1816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</w:pPr>
      <w:r>
        <w:rPr>
          <w:rFonts w:ascii="OXPWFG+Arial-BoldMT" w:hAnsi="OXPWFG+Arial-BoldMT" w:fareast="OXPWFG+Arial-BoldMT" w:cs="OXPWFG+Arial-BoldMT"/>
          <w:color w:val="002144"/>
          <w:w w:val="100"/>
          <w:sz w:val="9"/>
          <w:szCs w:val="9"/>
        </w:rPr>
        <w:t>General information:</w:t>
      </w:r>
    </w:p>
    <w:p>
      <w:pPr>
        <w:pStyle w:val="Normal"/>
        <w:framePr w:w="1370" w:hAnchor="page" w:vAnchor="page" w:x="2268" w:y="1496"/>
        <w:widowControl w:val="off"/>
        <w:autoSpaceDE w:val="off"/>
        <w:autoSpaceDN w:val="off"/>
        <w:spacing w:before="0" w:after="0" w:line="93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ffff"/>
          <w:w w:val="100"/>
          <w:sz w:val="9"/>
          <w:szCs w:val="9"/>
        </w:rPr>
      </w:pPr>
      <w:r>
        <w:rPr>
          <w:rFonts w:ascii="OXPWFG+Arial-BoldMT" w:hAnsi="OXPWFG+Arial-BoldMT" w:fareast="OXPWFG+Arial-BoldMT" w:cs="OXPWFG+Arial-BoldMT"/>
          <w:color w:val="ffffff"/>
          <w:w w:val="100"/>
          <w:sz w:val="9"/>
          <w:szCs w:val="9"/>
        </w:rPr>
        <w:t xml:space="preserve">SUMMARY OF PROPERTY </w:t>
      </w:r>
    </w:p>
    <w:p>
      <w:pPr>
        <w:pStyle w:val="Normal"/>
        <w:framePr w:w="9710" w:hAnchor="page" w:vAnchor="page" w:x="4123" w:y="309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100"/>
          <w:sz w:val="24"/>
          <w:szCs w:val="24"/>
        </w:rPr>
      </w:pPr>
      <w:r>
        <w:rPr>
          <w:rFonts w:ascii="OXPWFG+Arial-BoldMT" w:hAnsi="OXPWFG+Arial-BoldMT" w:fareast="OXPWFG+Arial-BoldMT" w:cs="OXPWFG+Arial-BoldMT"/>
          <w:color w:val="002144"/>
          <w:w w:val="100"/>
          <w:sz w:val="24"/>
          <w:szCs w:val="24"/>
        </w:rPr>
        <w:t>SAVILLS TECHNICAL DUE DILIGENCE RED FLAG AND CAPEX APPRAISAL</w:t>
      </w:r>
    </w:p>
    <w:p>
      <w:pPr>
        <w:pStyle w:val="Normal"/>
        <w:framePr w:w="7434" w:hAnchor="page" w:vAnchor="page" w:x="400" w:y="219"/>
        <w:widowControl w:val="off"/>
        <w:autoSpaceDE w:val="off"/>
        <w:autoSpaceDN w:val="off"/>
        <w:spacing w:before="0" w:after="0" w:line="223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  <w:r>
        <w:rPr>
          <w:rFonts w:ascii="Arial" w:hAnsi="Arial" w:fareast="Arial" w:cs="Arial"/>
          <w:color w:val="ff0000"/>
          <w:w w:val="100"/>
          <w:sz w:val="20"/>
          <w:szCs w:val="20"/>
        </w:rPr>
        <w:t>Evaluation Warning : The document was created with Spire.PDF for .NET.</w:t>
      </w:r>
    </w:p>
    <w:p>
      <w:pPr>
        <w:pStyle w:val="Normal"/>
        <w:autoSpaceDE w:val="off"/>
        <w:autoSpaceDN w:val="off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noProof w:val="on"/>
          <w:color w:val="000000"/>
          <w:sz w:val="14"/>
          <w:szCs w:val="14"/>
        </w:rPr>
        <w:sectPr>
          <w:pgSz w:w="16820" w:h="11900"/>
          <w:pgMar w:top="400" w:right="400" w:bottom="400" w:left="400" w:header="720" w:footer="720"/>
          <w:pgNumType w:start="2"/>
          <w:cols w:space="720" w:sep="off"/>
          <w:docGrid w:line-pitch="31680"/>
        </w:sectPr>
      </w:pP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" style="position:absolute;margin-left:740.05pt;margin-top:14pt;z-index:-16777200;width:45pt;height:41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" style="position:absolute;margin-left:110.85pt;margin-top:69.75pt;z-index:-16777196;width:619.15pt;height:15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" style="position:absolute;margin-left:111.7pt;margin-top:89.2pt;z-index:-16777192;width:232.75pt;height:8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" style="position:absolute;margin-left:380.85pt;margin-top:89.2pt;z-index:-16777188;width:348.8pt;height:8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" style="position:absolute;margin-left:111.7pt;margin-top:248.2pt;z-index:-16777184;width:232.75pt;height:8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" style="position:absolute;margin-left:380.5pt;margin-top:286pt;z-index:-16777180;width:349.5pt;height:21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" style="position:absolute;margin-left:380.85pt;margin-top:311.8pt;z-index:-16777176;width:348.8pt;height:15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" style="position:absolute;margin-left:380.85pt;margin-top:413.4pt;z-index:-16777172;width:348.8pt;height:14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" style="position:absolute;margin-left:111.7pt;margin-top:460.2pt;z-index:-16777168;width:232.75pt;height:8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" style="position:absolute;margin-left:611.95pt;margin-top:492pt;z-index:-16777164;width:117.7pt;height:8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" style="position:absolute;margin-left:110.85pt;margin-top:504.4pt;z-index:-16777160;width:619.15pt;height:15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" style="position:absolute;margin-left:381.1pt;margin-top:228.85pt;z-index:-16777156;width:156.1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" style="position:absolute;margin-left:381.1pt;margin-top:229.35pt;z-index:-16777152;width:156.1pt;height:46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" style="position:absolute;margin-left:380.6pt;margin-top:228.85pt;z-index:-16777148;width:2.5pt;height:4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" style="position:absolute;margin-left:573.7pt;margin-top:229.35pt;z-index:-16777144;width:156.1pt;height:46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" style="position:absolute;margin-left:573.2pt;margin-top:228.85pt;z-index:-16777140;width:2.5pt;height:4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" style="position:absolute;margin-left:573.7pt;margin-top:228.85pt;z-index:-16777136;width:156.1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" style="position:absolute;margin-left:556.35pt;margin-top:100.35pt;z-index:-16777132;width:171.8pt;height:118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1" style="position:absolute;margin-left:578.1pt;margin-top:103.75pt;z-index:-16777128;width:2pt;height:98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2" style="position:absolute;margin-left:578.1pt;margin-top:200.7pt;z-index:-16777124;width:145.2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3" style="position:absolute;margin-left:112pt;margin-top:126pt;z-index:-16777120;width:188.5pt;height:103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4" style="position:absolute;margin-left:234pt;margin-top:122pt;z-index:-16777116;width:70.7pt;height:6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5" style="position:absolute;margin-left:239.7pt;margin-top:124.05pt;z-index:-16777112;width:60.75pt;height:62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6" style="position:absolute;margin-left:284.15pt;margin-top:163.2pt;z-index:-16777108;width:2.25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7" style="position:absolute;margin-left:283.65pt;margin-top:163.1pt;z-index:-16777104;width:2.1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8" style="position:absolute;margin-left:283.65pt;margin-top:163.1pt;z-index:-16777100;width:2.1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9" style="position:absolute;margin-left:386.05pt;margin-top:100.2pt;z-index:-16777096;width:171.8pt;height:118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0" style="position:absolute;margin-left:409.3pt;margin-top:105pt;z-index:-16777092;width:2pt;height:93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1" style="position:absolute;margin-left:409.3pt;margin-top:196.45pt;z-index:-16777088;width:143.7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" o:title=""/>
          </v:shape>
        </w:pict>
      </w:r>
    </w:p>
    <w:p>
      <w:pPr>
        <w:pStyle w:val="Normal"/>
        <w:autoSpaceDE w:val="off"/>
        <w:autoSpaceDN w:val="off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</w:p>
    <w:p>
      <w:pPr>
        <w:pStyle w:val="Normal"/>
        <w:framePr w:w="1110" w:hAnchor="page" w:vAnchor="page" w:x="1152" w:y="11083"/>
        <w:widowControl w:val="off"/>
        <w:autoSpaceDE w:val="off"/>
        <w:autoSpaceDN w:val="off"/>
        <w:spacing w:before="0" w:after="0" w:line="208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0000"/>
          <w:w w:val="100"/>
          <w:sz w:val="20"/>
          <w:szCs w:val="20"/>
        </w:rPr>
      </w:pPr>
      <w:r>
        <w:rPr>
          <w:rFonts w:ascii="OXPWFG+Arial-BoldMT" w:hAnsi="OXPWFG+Arial-BoldMT" w:fareast="OXPWFG+Arial-BoldMT" w:cs="OXPWFG+Arial-BoldMT"/>
          <w:color w:val="ff0000"/>
          <w:w w:val="100"/>
          <w:sz w:val="20"/>
          <w:szCs w:val="20"/>
        </w:rPr>
        <w:t>savills.fr</w:t>
      </w:r>
    </w:p>
    <w:p>
      <w:pPr>
        <w:pStyle w:val="Normal"/>
        <w:framePr w:w="342" w:hAnchor="page" w:vAnchor="page" w:x="8352" w:y="11085"/>
        <w:widowControl w:val="off"/>
        <w:autoSpaceDE w:val="off"/>
        <w:autoSpaceDN w:val="off"/>
        <w:spacing w:before="0" w:after="0" w:line="208" w:lineRule="exact"/>
        <w:ind w:left="0" w:right="0" w:first-line="0"/>
        <w:jc w:val="left"/>
        <w:rPr>
          <w:rFonts w:ascii="LDEEPM+ArialMT" w:hAnsi="LDEEPM+ArialMT" w:fareast="LDEEPM+ArialMT" w:cs="LDEEPM+ArialMT"/>
          <w:color w:val="ff0000"/>
          <w:w w:val="100"/>
          <w:sz w:val="20"/>
          <w:szCs w:val="20"/>
        </w:rPr>
      </w:pPr>
      <w:r>
        <w:rPr>
          <w:rFonts w:ascii="LDEEPM+ArialMT" w:hAnsi="LDEEPM+ArialMT" w:fareast="LDEEPM+ArialMT" w:cs="LDEEPM+ArialMT"/>
          <w:color w:val="ff0000"/>
          <w:w w:val="100"/>
          <w:sz w:val="20"/>
          <w:szCs w:val="20"/>
        </w:rPr>
        <w:t>2</w:t>
      </w:r>
    </w:p>
    <w:p>
      <w:pPr>
        <w:pStyle w:val="Normal"/>
        <w:framePr w:w="1313" w:hAnchor="page" w:vAnchor="page" w:x="14688" w:y="11083"/>
        <w:widowControl w:val="off"/>
        <w:autoSpaceDE w:val="off"/>
        <w:autoSpaceDN w:val="off"/>
        <w:spacing w:before="0" w:after="0" w:line="208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0000"/>
          <w:w w:val="100"/>
          <w:sz w:val="20"/>
          <w:szCs w:val="20"/>
        </w:rPr>
      </w:pPr>
      <w:r>
        <w:rPr>
          <w:rFonts w:ascii="OXPWFG+Arial-BoldMT" w:hAnsi="OXPWFG+Arial-BoldMT" w:fareast="OXPWFG+Arial-BoldMT" w:cs="OXPWFG+Arial-BoldMT"/>
          <w:color w:val="ff0000"/>
          <w:w w:val="100"/>
          <w:sz w:val="20"/>
          <w:szCs w:val="20"/>
        </w:rPr>
        <w:t>01/12/2023</w:t>
      </w:r>
    </w:p>
    <w:p>
      <w:pPr>
        <w:pStyle w:val="Normal"/>
        <w:framePr w:w="323" w:hAnchor="page" w:vAnchor="page" w:x="1623" w:y="10110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Lifts</w:t>
      </w:r>
    </w:p>
    <w:p>
      <w:pPr>
        <w:pStyle w:val="Normal"/>
        <w:framePr w:w="5162" w:hAnchor="page" w:vAnchor="page" w:x="2182" w:y="10110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The lift machinery and tracking system were replaced in 2016 as part of  the hotel renovation project.</w:t>
      </w:r>
    </w:p>
    <w:p>
      <w:pPr>
        <w:pStyle w:val="Normal"/>
        <w:framePr w:w="2237" w:hAnchor="page" w:vAnchor="page" w:x="7539" w:y="10110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No capex anticipated in the next 10 years.</w:t>
      </w:r>
    </w:p>
    <w:p>
      <w:pPr>
        <w:pStyle w:val="Normal"/>
        <w:framePr w:w="3388" w:hAnchor="page" w:vAnchor="page" w:x="2182" w:y="9942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the building overall renovation project. The systems present well.</w:t>
      </w:r>
    </w:p>
    <w:p>
      <w:pPr>
        <w:pStyle w:val="Normal"/>
        <w:framePr w:w="655" w:hAnchor="page" w:vAnchor="page" w:x="1474" w:y="9815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Life Safety</w:t>
      </w:r>
    </w:p>
    <w:p>
      <w:pPr>
        <w:pStyle w:val="Normal"/>
        <w:framePr w:w="5819" w:hAnchor="page" w:vAnchor="page" w:x="2182" w:y="9815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The life safety systems including fire protection, fire alarm, and smoke extraction were installed in  2016 as part of</w:t>
      </w:r>
    </w:p>
    <w:p>
      <w:pPr>
        <w:pStyle w:val="Normal"/>
        <w:framePr w:w="2237" w:hAnchor="page" w:vAnchor="page" w:x="7539" w:y="9815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No capex anticipated in the next 10 years.</w:t>
      </w:r>
    </w:p>
    <w:p>
      <w:pPr>
        <w:pStyle w:val="Normal"/>
        <w:framePr w:w="477" w:hAnchor="page" w:vAnchor="page" w:x="1546" w:y="9505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Decree</w:t>
      </w:r>
    </w:p>
    <w:p>
      <w:pPr>
        <w:pStyle w:val="Normal"/>
        <w:framePr w:w="3747" w:hAnchor="page" w:vAnchor="page" w:x="2182" w:y="9505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comply with the Building Automation &amp; Control Systems (BACS) decree.</w:t>
      </w:r>
    </w:p>
    <w:p>
      <w:pPr>
        <w:pStyle w:val="Normal"/>
        <w:framePr w:w="2887" w:hAnchor="page" w:vAnchor="page" w:x="7539" w:y="9505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2027, given the nominal capacity of its HVAC systems.</w:t>
      </w:r>
    </w:p>
    <w:p>
      <w:pPr>
        <w:pStyle w:val="Normal"/>
        <w:framePr w:w="766" w:hAnchor="page" w:vAnchor="page" w:x="1414" w:y="9378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BMS - BACS</w:t>
      </w:r>
    </w:p>
    <w:p>
      <w:pPr>
        <w:pStyle w:val="Normal"/>
        <w:framePr w:w="5774" w:hAnchor="page" w:vAnchor="page" w:x="2182" w:y="9378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The asset is not equipped with a building management system (BMS). We recommend that  a BMS is installed to</w:t>
      </w:r>
    </w:p>
    <w:p>
      <w:pPr>
        <w:pStyle w:val="Normal"/>
        <w:framePr w:w="7789" w:hAnchor="page" w:vAnchor="page" w:x="7539" w:y="9378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Capex is provided in the long term for the installation of  a BMS workstation, cabling and controls as the asset will be subject to this decree by January 1,</w:t>
      </w:r>
    </w:p>
    <w:p>
      <w:pPr>
        <w:pStyle w:val="Normal"/>
        <w:framePr w:w="1321" w:hAnchor="page" w:vAnchor="page" w:x="2182" w:y="9188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system is in good order.</w:t>
      </w:r>
    </w:p>
    <w:p>
      <w:pPr>
        <w:pStyle w:val="Normal"/>
        <w:framePr w:w="5938" w:hAnchor="page" w:vAnchor="page" w:x="2182" w:y="9061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and monitoring of the VRV system (guest rooms temperature set-points  &amp; operation, and room lighting control). The</w:t>
      </w:r>
    </w:p>
    <w:p>
      <w:pPr>
        <w:pStyle w:val="Normal"/>
        <w:framePr w:w="355" w:hAnchor="page" w:vAnchor="page" w:x="1601" w:y="8934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BMS</w:t>
      </w:r>
    </w:p>
    <w:p>
      <w:pPr>
        <w:pStyle w:val="Normal"/>
        <w:framePr w:w="5742" w:hAnchor="page" w:vAnchor="page" w:x="2182" w:y="8934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A Daikin control system was installed in 2016 as part of  the building overall renovation project, providing control</w:t>
      </w:r>
    </w:p>
    <w:p>
      <w:pPr>
        <w:pStyle w:val="Normal"/>
        <w:framePr w:w="2237" w:hAnchor="page" w:vAnchor="page" w:x="7539" w:y="8934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No capex anticipated in the next 10 years.</w:t>
      </w:r>
    </w:p>
    <w:p>
      <w:pPr>
        <w:pStyle w:val="Normal"/>
        <w:framePr w:w="529" w:hAnchor="page" w:vAnchor="page" w:x="1524" w:y="8766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systems</w:t>
      </w:r>
    </w:p>
    <w:p>
      <w:pPr>
        <w:pStyle w:val="Normal"/>
        <w:framePr w:w="4436" w:hAnchor="page" w:vAnchor="page" w:x="2182" w:y="8766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installed in 2016 as part of the hotel renovation project. Systems  present well in 2023.</w:t>
      </w:r>
    </w:p>
    <w:p>
      <w:pPr>
        <w:pStyle w:val="Normal"/>
        <w:framePr w:w="717" w:hAnchor="page" w:vAnchor="page" w:x="1438" w:y="8639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Low voltage</w:t>
      </w:r>
    </w:p>
    <w:p>
      <w:pPr>
        <w:pStyle w:val="Normal"/>
        <w:framePr w:w="5848" w:hAnchor="page" w:vAnchor="page" w:x="2182" w:y="8639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The electrical low voltage systems including access control, CCTV, intruder and telecommunication systems were</w:t>
      </w:r>
    </w:p>
    <w:p>
      <w:pPr>
        <w:pStyle w:val="Normal"/>
        <w:framePr w:w="2237" w:hAnchor="page" w:vAnchor="page" w:x="7539" w:y="8639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No capex anticipated in the next 10 years.</w:t>
      </w:r>
    </w:p>
    <w:p>
      <w:pPr>
        <w:pStyle w:val="Normal"/>
        <w:framePr w:w="536" w:hAnchor="page" w:vAnchor="page" w:x="1519" w:y="8471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&amp; Power</w:t>
      </w:r>
    </w:p>
    <w:p>
      <w:pPr>
        <w:pStyle w:val="Normal"/>
        <w:framePr w:w="2470" w:hAnchor="page" w:vAnchor="page" w:x="2182" w:y="8471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hotel renovation project. Systems present well.</w:t>
      </w:r>
    </w:p>
    <w:p>
      <w:pPr>
        <w:pStyle w:val="Normal"/>
        <w:framePr w:w="973" w:hAnchor="page" w:vAnchor="page" w:x="1320" w:y="8344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Electrical lighting</w:t>
      </w:r>
    </w:p>
    <w:p>
      <w:pPr>
        <w:pStyle w:val="Normal"/>
        <w:framePr w:w="5893" w:hAnchor="page" w:vAnchor="page" w:x="2182" w:y="8344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The building is fully provided with LED lighting. The electrical power distribution was installed  in 2016 as part of the</w:t>
      </w:r>
    </w:p>
    <w:p>
      <w:pPr>
        <w:pStyle w:val="Normal"/>
        <w:framePr w:w="2237" w:hAnchor="page" w:vAnchor="page" w:x="7539" w:y="8344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No capex anticipated in the next 10 years.</w:t>
      </w:r>
    </w:p>
    <w:p>
      <w:pPr>
        <w:pStyle w:val="Normal"/>
        <w:framePr w:w="1878" w:hAnchor="page" w:vAnchor="page" w:x="2182" w:y="8176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part of the hotel renovation project.</w:t>
      </w:r>
    </w:p>
    <w:p>
      <w:pPr>
        <w:pStyle w:val="Normal"/>
        <w:framePr w:w="1043" w:hAnchor="page" w:vAnchor="page" w:x="1289" w:y="8048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Plumbing services</w:t>
      </w:r>
    </w:p>
    <w:p>
      <w:pPr>
        <w:pStyle w:val="Normal"/>
        <w:framePr w:w="5873" w:hAnchor="page" w:vAnchor="page" w:x="2182" w:y="8048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The plumbing services including the guest rooms water supply and drainage installations were installed  in 2016 as</w:t>
      </w:r>
    </w:p>
    <w:p>
      <w:pPr>
        <w:pStyle w:val="Normal"/>
        <w:framePr w:w="5555" w:hAnchor="page" w:vAnchor="page" w:x="7539" w:y="8048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The building plumbing services are in good condition. No Capital expenditure is  anticipated in the long term.</w:t>
      </w:r>
    </w:p>
    <w:p>
      <w:pPr>
        <w:pStyle w:val="Normal"/>
        <w:framePr w:w="590" w:hAnchor="page" w:vAnchor="page" w:x="1495" w:y="7880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treatment</w:t>
      </w:r>
    </w:p>
    <w:p>
      <w:pPr>
        <w:pStyle w:val="Normal"/>
        <w:framePr w:w="3420" w:hAnchor="page" w:vAnchor="page" w:x="2182" w:y="7880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building overall renovation project. Installations are in good order.</w:t>
      </w:r>
    </w:p>
    <w:p>
      <w:pPr>
        <w:pStyle w:val="Normal"/>
        <w:framePr w:w="552" w:hAnchor="page" w:vAnchor="page" w:x="1512" w:y="7753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Terminal</w:t>
      </w:r>
    </w:p>
    <w:p>
      <w:pPr>
        <w:pStyle w:val="Normal"/>
        <w:framePr w:w="5745" w:hAnchor="page" w:vAnchor="page" w:x="2182" w:y="7753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The guest rooms and common areas terminal treatment (FCU’s and AHU’s)   was installed in 2016 as part of the</w:t>
      </w:r>
    </w:p>
    <w:p>
      <w:pPr>
        <w:pStyle w:val="Normal"/>
        <w:framePr w:w="2237" w:hAnchor="page" w:vAnchor="page" w:x="7539" w:y="7753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No capex anticipated in the next 10 years.</w:t>
      </w:r>
    </w:p>
    <w:p>
      <w:pPr>
        <w:pStyle w:val="Normal"/>
        <w:framePr w:w="656" w:hAnchor="page" w:vAnchor="page" w:x="1464" w:y="7585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Production</w:t>
      </w:r>
    </w:p>
    <w:p>
      <w:pPr>
        <w:pStyle w:val="Normal"/>
        <w:framePr w:w="503" w:hAnchor="page" w:vAnchor="page" w:x="1534" w:y="7458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Heating</w:t>
      </w:r>
    </w:p>
    <w:p>
      <w:pPr>
        <w:pStyle w:val="Normal"/>
        <w:framePr w:w="4927" w:hAnchor="page" w:vAnchor="page" w:x="2182" w:y="7458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During the Savills site visit, there was a leak in one of  the duct of the district heating substation.</w:t>
      </w:r>
    </w:p>
    <w:p>
      <w:pPr>
        <w:pStyle w:val="Normal"/>
        <w:framePr w:w="7369" w:hAnchor="page" w:vAnchor="page" w:x="7539" w:y="7458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The leak in the hot water pipework should be repaired in the short term.  Cost falls under the maintenance Opex budget. No capex is anticipated.</w:t>
      </w:r>
    </w:p>
    <w:p>
      <w:pPr>
        <w:pStyle w:val="Normal"/>
        <w:framePr w:w="656" w:hAnchor="page" w:vAnchor="page" w:x="1464" w:y="7290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Production</w:t>
      </w:r>
    </w:p>
    <w:p>
      <w:pPr>
        <w:pStyle w:val="Normal"/>
        <w:framePr w:w="1445" w:hAnchor="page" w:vAnchor="page" w:x="2182" w:y="7290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remains in good condition.</w:t>
      </w:r>
    </w:p>
    <w:p>
      <w:pPr>
        <w:pStyle w:val="Normal"/>
        <w:framePr w:w="503" w:hAnchor="page" w:vAnchor="page" w:x="1534" w:y="7163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Heating</w:t>
      </w:r>
    </w:p>
    <w:p>
      <w:pPr>
        <w:pStyle w:val="Normal"/>
        <w:framePr w:w="5600" w:hAnchor="page" w:vAnchor="page" w:x="2182" w:y="7163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The district heating substation was installed in 2016 as part of  the hotel renovation project. The infrastructure</w:t>
      </w:r>
    </w:p>
    <w:p>
      <w:pPr>
        <w:pStyle w:val="Normal"/>
        <w:framePr w:w="2237" w:hAnchor="page" w:vAnchor="page" w:x="7539" w:y="7163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No capex anticipated in the next 10 years.</w:t>
      </w:r>
    </w:p>
    <w:p>
      <w:pPr>
        <w:pStyle w:val="Normal"/>
        <w:framePr w:w="643" w:hAnchor="page" w:vAnchor="page" w:x="1471" w:y="6995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production</w:t>
      </w:r>
    </w:p>
    <w:p>
      <w:pPr>
        <w:pStyle w:val="Normal"/>
        <w:framePr w:w="1445" w:hAnchor="page" w:vAnchor="page" w:x="2182" w:y="6995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remains in good condition.</w:t>
      </w:r>
    </w:p>
    <w:p>
      <w:pPr>
        <w:pStyle w:val="Normal"/>
        <w:framePr w:w="498" w:hAnchor="page" w:vAnchor="page" w:x="1539" w:y="6868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Cooling</w:t>
      </w:r>
    </w:p>
    <w:p>
      <w:pPr>
        <w:pStyle w:val="Normal"/>
        <w:framePr w:w="5803" w:hAnchor="page" w:vAnchor="page" w:x="2182" w:y="6868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The district cooling substation was installed in 2016 as part of  the building overall renovation project. The system</w:t>
      </w:r>
    </w:p>
    <w:p>
      <w:pPr>
        <w:pStyle w:val="Normal"/>
        <w:framePr w:w="2237" w:hAnchor="page" w:vAnchor="page" w:x="7539" w:y="6868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No capex anticipated in the next 10 years.</w:t>
      </w:r>
    </w:p>
    <w:p>
      <w:pPr>
        <w:pStyle w:val="Normal"/>
        <w:framePr w:w="1414" w:hAnchor="page" w:vAnchor="page" w:x="1289" w:y="6640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ffff"/>
          <w:w w:val="100"/>
          <w:sz w:val="10"/>
          <w:szCs w:val="10"/>
        </w:rPr>
      </w:pPr>
      <w:r>
        <w:rPr>
          <w:rFonts w:ascii="OXPWFG+Arial-BoldMT" w:hAnsi="OXPWFG+Arial-BoldMT" w:fareast="OXPWFG+Arial-BoldMT" w:cs="OXPWFG+Arial-BoldMT"/>
          <w:color w:val="ffffff"/>
          <w:w w:val="100"/>
          <w:sz w:val="10"/>
          <w:szCs w:val="10"/>
        </w:rPr>
        <w:t>B. Services Installations</w:t>
      </w:r>
    </w:p>
    <w:p>
      <w:pPr>
        <w:pStyle w:val="Normal"/>
        <w:framePr w:w="407" w:hAnchor="page" w:vAnchor="page" w:x="1577" w:y="6404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Areas</w:t>
      </w:r>
    </w:p>
    <w:p>
      <w:pPr>
        <w:pStyle w:val="Normal"/>
        <w:framePr w:w="1818" w:hAnchor="page" w:vAnchor="page" w:x="2182" w:y="6404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the floor is lifting in several areas.</w:t>
      </w:r>
    </w:p>
    <w:p>
      <w:pPr>
        <w:pStyle w:val="Normal"/>
        <w:framePr w:w="857" w:hAnchor="page" w:vAnchor="page" w:x="1373" w:y="6277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Back of House</w:t>
      </w:r>
    </w:p>
    <w:p>
      <w:pPr>
        <w:pStyle w:val="Normal"/>
        <w:framePr w:w="5898" w:hAnchor="page" w:vAnchor="page" w:x="2182" w:y="6277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The finishes of the back of house are in  a satisfactory condition. However, we have noted that the epoxy coating to</w:t>
      </w:r>
    </w:p>
    <w:p>
      <w:pPr>
        <w:pStyle w:val="Normal"/>
        <w:framePr w:w="3787" w:hAnchor="page" w:vAnchor="page" w:x="7539" w:y="6277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We have added a cost to reapply an epoxy coating to the affected areas.</w:t>
      </w:r>
    </w:p>
    <w:p>
      <w:pPr>
        <w:pStyle w:val="Normal"/>
        <w:framePr w:w="967" w:hAnchor="page" w:vAnchor="page" w:x="1325" w:y="6109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Reception Lobby</w:t>
      </w:r>
    </w:p>
    <w:p>
      <w:pPr>
        <w:pStyle w:val="Normal"/>
        <w:framePr w:w="890" w:hAnchor="page" w:vAnchor="page" w:x="1361" w:y="5982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Internal Areas -</w:t>
      </w:r>
    </w:p>
    <w:p>
      <w:pPr>
        <w:pStyle w:val="Normal"/>
        <w:framePr w:w="5561" w:hAnchor="page" w:vAnchor="page" w:x="2182" w:y="5982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The finishes and fittings of the reception lobby are in a satisfactory condition.  The interior is well maintained.</w:t>
      </w:r>
    </w:p>
    <w:p>
      <w:pPr>
        <w:pStyle w:val="Normal"/>
        <w:framePr w:w="973" w:hAnchor="page" w:vAnchor="page" w:x="7539" w:y="5982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No risk to lender.</w:t>
      </w:r>
    </w:p>
    <w:p>
      <w:pPr>
        <w:pStyle w:val="Normal"/>
        <w:framePr w:w="5001" w:hAnchor="page" w:vAnchor="page" w:x="2182" w:y="5778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- Water ingress is visible on the skylight above the pool. The waterproofing needs  to be checked.</w:t>
      </w:r>
    </w:p>
    <w:p>
      <w:pPr>
        <w:pStyle w:val="Normal"/>
        <w:framePr w:w="2486" w:hAnchor="page" w:vAnchor="page" w:x="2182" w:y="5651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compatibility with the waterproofing membrane.</w:t>
      </w:r>
    </w:p>
    <w:p>
      <w:pPr>
        <w:pStyle w:val="Normal"/>
        <w:framePr w:w="5323" w:hAnchor="page" w:vAnchor="page" w:x="2182" w:y="5523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- The mosaic tiles in the swimming pool are lifting (re-occurring issue). There  might be an issue with the</w:t>
      </w:r>
    </w:p>
    <w:p>
      <w:pPr>
        <w:pStyle w:val="Normal"/>
        <w:framePr w:w="613" w:hAnchor="page" w:vAnchor="page" w:x="1483" w:y="5269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Amenities</w:t>
      </w:r>
    </w:p>
    <w:p>
      <w:pPr>
        <w:pStyle w:val="Normal"/>
        <w:framePr w:w="1032" w:hAnchor="page" w:vAnchor="page" w:x="2182" w:y="5269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have been noted:-</w:t>
      </w:r>
    </w:p>
    <w:p>
      <w:pPr>
        <w:pStyle w:val="Normal"/>
        <w:framePr w:w="890" w:hAnchor="page" w:vAnchor="page" w:x="1359" w:y="5142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Internal Areas -</w:t>
      </w:r>
    </w:p>
    <w:p>
      <w:pPr>
        <w:pStyle w:val="Normal"/>
        <w:framePr w:w="5882" w:hAnchor="page" w:vAnchor="page" w:x="2182" w:y="5142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The finishes and fittings of the hotel amenities are  in a satisfactory condition. However, the following minor defects</w:t>
      </w:r>
    </w:p>
    <w:p>
      <w:pPr>
        <w:pStyle w:val="Normal"/>
        <w:framePr w:w="7783" w:hAnchor="page" w:vAnchor="page" w:x="7539" w:y="5142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We have included an allowance for conducting an investigation to locate the source of  the tile issue and water ingress and undertake necessary repairs.</w:t>
      </w:r>
    </w:p>
    <w:p>
      <w:pPr>
        <w:pStyle w:val="Normal"/>
        <w:framePr w:w="729" w:hAnchor="page" w:vAnchor="page" w:x="1431" w:y="4974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Guestrooms</w:t>
      </w:r>
    </w:p>
    <w:p>
      <w:pPr>
        <w:pStyle w:val="Normal"/>
        <w:framePr w:w="890" w:hAnchor="page" w:vAnchor="page" w:x="1359" w:y="4847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Internal Areas -</w:t>
      </w:r>
    </w:p>
    <w:p>
      <w:pPr>
        <w:pStyle w:val="Normal"/>
        <w:framePr w:w="5384" w:hAnchor="page" w:vAnchor="page" w:x="2182" w:y="4847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The finishes and fittings of the guestrooms are in a  satisfactory condition. The interior is well maintained.</w:t>
      </w:r>
    </w:p>
    <w:p>
      <w:pPr>
        <w:pStyle w:val="Normal"/>
        <w:framePr w:w="973" w:hAnchor="page" w:vAnchor="page" w:x="7539" w:y="4847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No risk to lender.</w:t>
      </w:r>
    </w:p>
    <w:p>
      <w:pPr>
        <w:pStyle w:val="Normal"/>
        <w:framePr w:w="858" w:hAnchor="page" w:vAnchor="page" w:x="1380" w:y="4552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External Areas</w:t>
      </w:r>
    </w:p>
    <w:p>
      <w:pPr>
        <w:pStyle w:val="Normal"/>
        <w:framePr w:w="3987" w:hAnchor="page" w:vAnchor="page" w:x="2182" w:y="4552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The courtyard terrace with garden is well maintained and in a good condition.</w:t>
      </w:r>
    </w:p>
    <w:p>
      <w:pPr>
        <w:pStyle w:val="Normal"/>
        <w:framePr w:w="973" w:hAnchor="page" w:vAnchor="page" w:x="7539" w:y="4552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No risk to lender.</w:t>
      </w:r>
    </w:p>
    <w:p>
      <w:pPr>
        <w:pStyle w:val="Normal"/>
        <w:framePr w:w="1006" w:hAnchor="page" w:vAnchor="page" w:x="1306" w:y="4235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Flammability Risk</w:t>
      </w:r>
    </w:p>
    <w:p>
      <w:pPr>
        <w:pStyle w:val="Normal"/>
        <w:framePr w:w="3037" w:hAnchor="page" w:vAnchor="page" w:x="2182" w:y="4235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as indicated in the Tristan Façade Fire Safety Risk Matrix.</w:t>
      </w:r>
    </w:p>
    <w:p>
      <w:pPr>
        <w:pStyle w:val="Normal"/>
        <w:framePr w:w="618" w:hAnchor="page" w:vAnchor="page" w:x="1483" w:y="4108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Façades -</w:t>
      </w:r>
    </w:p>
    <w:p>
      <w:pPr>
        <w:pStyle w:val="Normal"/>
        <w:framePr w:w="5851" w:hAnchor="page" w:vAnchor="page" w:x="2182" w:y="4108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The hotel façades are made of solid masonry with internal thermal  insulation so there is a low risk of flame spread</w:t>
      </w:r>
    </w:p>
    <w:p>
      <w:pPr>
        <w:pStyle w:val="Normal"/>
        <w:framePr w:w="973" w:hAnchor="page" w:vAnchor="page" w:x="7539" w:y="4108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No risk to lender.</w:t>
      </w:r>
    </w:p>
    <w:p>
      <w:pPr>
        <w:pStyle w:val="Normal"/>
        <w:framePr w:w="6389" w:hAnchor="page" w:vAnchor="page" w:x="7539" w:y="3791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façades of building in Paris are renovated every 10 years,  we  have allocated a cost for façade cleaning in the medium term.</w:t>
      </w:r>
    </w:p>
    <w:p>
      <w:pPr>
        <w:pStyle w:val="Normal"/>
        <w:framePr w:w="547" w:hAnchor="page" w:vAnchor="page" w:x="1522" w:y="3663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Façades</w:t>
      </w:r>
    </w:p>
    <w:p>
      <w:pPr>
        <w:pStyle w:val="Normal"/>
        <w:framePr w:w="5376" w:hAnchor="page" w:vAnchor="page" w:x="2182" w:y="3664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The façades to the building (front and courtyard) appear in good condition. No major damage was  noted.</w:t>
      </w:r>
    </w:p>
    <w:p>
      <w:pPr>
        <w:pStyle w:val="Normal"/>
        <w:framePr w:w="7579" w:hAnchor="page" w:vAnchor="page" w:x="7539" w:y="3664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Considering that the French Building and Housing Code "Code de la Construction et de  l'Habitation" (CCH) in articles L. 126-2 and L. 126-3 requires</w:t>
      </w:r>
    </w:p>
    <w:p>
      <w:pPr>
        <w:pStyle w:val="Normal"/>
        <w:framePr w:w="350" w:hAnchor="page" w:vAnchor="page" w:x="1611" w:y="3368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Roof</w:t>
      </w:r>
    </w:p>
    <w:p>
      <w:pPr>
        <w:pStyle w:val="Normal"/>
        <w:framePr w:w="5822" w:hAnchor="page" w:vAnchor="page" w:x="2182" w:y="3368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The roof zinc covering is in good condition (renovated in 2016).  We saw no evidence of leaks and water damage.</w:t>
      </w:r>
    </w:p>
    <w:p>
      <w:pPr>
        <w:pStyle w:val="Normal"/>
        <w:framePr w:w="973" w:hAnchor="page" w:vAnchor="page" w:x="7539" w:y="3368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No risk to lender.</w:t>
      </w:r>
    </w:p>
    <w:p>
      <w:pPr>
        <w:pStyle w:val="Normal"/>
        <w:framePr w:w="572" w:hAnchor="page" w:vAnchor="page" w:x="1510" w:y="3073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Structure</w:t>
      </w:r>
    </w:p>
    <w:p>
      <w:pPr>
        <w:pStyle w:val="Normal"/>
        <w:framePr w:w="5516" w:hAnchor="page" w:vAnchor="page" w:x="2182" w:y="3073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The structure of the building is in good condition and no visible  displacement, failure or damage was noted.</w:t>
      </w:r>
    </w:p>
    <w:p>
      <w:pPr>
        <w:pStyle w:val="Normal"/>
        <w:framePr w:w="973" w:hAnchor="page" w:vAnchor="page" w:x="7539" w:y="3073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No risk to lender.</w:t>
      </w:r>
    </w:p>
    <w:p>
      <w:pPr>
        <w:pStyle w:val="Normal"/>
        <w:framePr w:w="390" w:hAnchor="page" w:vAnchor="page" w:x="2182" w:y="2884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hotel.</w:t>
      </w:r>
    </w:p>
    <w:p>
      <w:pPr>
        <w:pStyle w:val="Normal"/>
        <w:framePr w:w="5855" w:hAnchor="page" w:vAnchor="page" w:x="2182" w:y="2756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in 2016. The quality and the condition of the components and materials  correspond to what is expected of a 5-star</w:t>
      </w:r>
    </w:p>
    <w:p>
      <w:pPr>
        <w:pStyle w:val="Normal"/>
        <w:framePr w:w="513" w:hAnchor="page" w:vAnchor="page" w:x="1536" w:y="2629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General</w:t>
      </w:r>
    </w:p>
    <w:p>
      <w:pPr>
        <w:pStyle w:val="Normal"/>
        <w:framePr w:w="5885" w:hAnchor="page" w:vAnchor="page" w:x="2182" w:y="2629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Generally the hotel is in a good condition and interior presents well throughout,  reflecting a good quality renovation</w:t>
      </w:r>
    </w:p>
    <w:p>
      <w:pPr>
        <w:pStyle w:val="Normal"/>
        <w:framePr w:w="973" w:hAnchor="page" w:vAnchor="page" w:x="7539" w:y="2629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No risk to lender.</w:t>
      </w:r>
    </w:p>
    <w:p>
      <w:pPr>
        <w:pStyle w:val="Normal"/>
        <w:framePr w:w="1079" w:hAnchor="page" w:vAnchor="page" w:x="1289" w:y="2401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ffff"/>
          <w:w w:val="100"/>
          <w:sz w:val="10"/>
          <w:szCs w:val="10"/>
        </w:rPr>
      </w:pPr>
      <w:r>
        <w:rPr>
          <w:rFonts w:ascii="OXPWFG+Arial-BoldMT" w:hAnsi="OXPWFG+Arial-BoldMT" w:fareast="OXPWFG+Arial-BoldMT" w:cs="OXPWFG+Arial-BoldMT"/>
          <w:color w:val="ffffff"/>
          <w:w w:val="100"/>
          <w:sz w:val="10"/>
          <w:szCs w:val="10"/>
        </w:rPr>
        <w:t>A. Building Fabric</w:t>
      </w:r>
    </w:p>
    <w:p>
      <w:pPr>
        <w:pStyle w:val="Normal"/>
        <w:framePr w:w="734" w:hAnchor="page" w:vAnchor="page" w:x="14823" w:y="2111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ffff"/>
          <w:w w:val="100"/>
          <w:sz w:val="10"/>
          <w:szCs w:val="10"/>
        </w:rPr>
      </w:pPr>
      <w:r>
        <w:rPr>
          <w:rFonts w:ascii="OXPWFG+Arial-BoldMT" w:hAnsi="OXPWFG+Arial-BoldMT" w:fareast="OXPWFG+Arial-BoldMT" w:cs="OXPWFG+Arial-BoldMT"/>
          <w:color w:val="ffffff"/>
          <w:w w:val="100"/>
          <w:sz w:val="10"/>
          <w:szCs w:val="10"/>
        </w:rPr>
        <w:t>Risk Rating</w:t>
      </w:r>
    </w:p>
    <w:p>
      <w:pPr>
        <w:pStyle w:val="Normal"/>
        <w:framePr w:w="552" w:hAnchor="page" w:vAnchor="page" w:x="1505" w:y="2106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ffff"/>
          <w:w w:val="100"/>
          <w:sz w:val="10"/>
          <w:szCs w:val="10"/>
        </w:rPr>
      </w:pPr>
      <w:r>
        <w:rPr>
          <w:rFonts w:ascii="OXPWFG+Arial-BoldMT" w:hAnsi="OXPWFG+Arial-BoldMT" w:fareast="OXPWFG+Arial-BoldMT" w:cs="OXPWFG+Arial-BoldMT"/>
          <w:color w:val="ffffff"/>
          <w:w w:val="100"/>
          <w:sz w:val="10"/>
          <w:szCs w:val="10"/>
        </w:rPr>
        <w:t>Element</w:t>
      </w:r>
    </w:p>
    <w:p>
      <w:pPr>
        <w:pStyle w:val="Normal"/>
        <w:framePr w:w="1111" w:hAnchor="page" w:vAnchor="page" w:x="4390" w:y="2106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ffff"/>
          <w:w w:val="100"/>
          <w:sz w:val="10"/>
          <w:szCs w:val="10"/>
        </w:rPr>
      </w:pPr>
      <w:r>
        <w:rPr>
          <w:rFonts w:ascii="OXPWFG+Arial-BoldMT" w:hAnsi="OXPWFG+Arial-BoldMT" w:fareast="OXPWFG+Arial-BoldMT" w:cs="OXPWFG+Arial-BoldMT"/>
          <w:color w:val="ffffff"/>
          <w:w w:val="100"/>
          <w:sz w:val="10"/>
          <w:szCs w:val="10"/>
        </w:rPr>
        <w:t>Key Consideration</w:t>
      </w:r>
    </w:p>
    <w:p>
      <w:pPr>
        <w:pStyle w:val="Normal"/>
        <w:framePr w:w="1022" w:hAnchor="page" w:vAnchor="page" w:x="10666" w:y="2106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ffff"/>
          <w:w w:val="100"/>
          <w:sz w:val="10"/>
          <w:szCs w:val="10"/>
        </w:rPr>
      </w:pPr>
      <w:r>
        <w:rPr>
          <w:rFonts w:ascii="OXPWFG+Arial-BoldMT" w:hAnsi="OXPWFG+Arial-BoldMT" w:fareast="OXPWFG+Arial-BoldMT" w:cs="OXPWFG+Arial-BoldMT"/>
          <w:color w:val="ffffff"/>
          <w:w w:val="100"/>
          <w:sz w:val="10"/>
          <w:szCs w:val="10"/>
        </w:rPr>
        <w:t>Savills Comment</w:t>
      </w:r>
    </w:p>
    <w:p>
      <w:pPr>
        <w:pStyle w:val="Normal"/>
        <w:framePr w:w="2094" w:hAnchor="page" w:vAnchor="page" w:x="1289" w:y="1511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ffff"/>
          <w:w w:val="100"/>
          <w:sz w:val="10"/>
          <w:szCs w:val="10"/>
        </w:rPr>
      </w:pPr>
      <w:r>
        <w:rPr>
          <w:rFonts w:ascii="OXPWFG+Arial-BoldMT" w:hAnsi="OXPWFG+Arial-BoldMT" w:fareast="OXPWFG+Arial-BoldMT" w:cs="OXPWFG+Arial-BoldMT"/>
          <w:color w:val="ffffff"/>
          <w:w w:val="100"/>
          <w:sz w:val="10"/>
          <w:szCs w:val="10"/>
        </w:rPr>
        <w:t>SUMMARY OF KEY OBSERVATIONS</w:t>
      </w:r>
    </w:p>
    <w:p>
      <w:pPr>
        <w:pStyle w:val="Normal"/>
        <w:framePr w:w="9710" w:hAnchor="page" w:vAnchor="page" w:x="4123" w:y="309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100"/>
          <w:sz w:val="24"/>
          <w:szCs w:val="24"/>
        </w:rPr>
      </w:pPr>
      <w:r>
        <w:rPr>
          <w:rFonts w:ascii="OXPWFG+Arial-BoldMT" w:hAnsi="OXPWFG+Arial-BoldMT" w:fareast="OXPWFG+Arial-BoldMT" w:cs="OXPWFG+Arial-BoldMT"/>
          <w:color w:val="002144"/>
          <w:w w:val="100"/>
          <w:sz w:val="24"/>
          <w:szCs w:val="24"/>
        </w:rPr>
        <w:t>SAVILLS TECHNICAL DUE DILIGENCE RED FLAG AND CAPEX APPRAISAL</w:t>
      </w:r>
    </w:p>
    <w:p>
      <w:pPr>
        <w:pStyle w:val="Normal"/>
        <w:framePr w:w="7434" w:hAnchor="page" w:vAnchor="page" w:x="400" w:y="219"/>
        <w:widowControl w:val="off"/>
        <w:autoSpaceDE w:val="off"/>
        <w:autoSpaceDN w:val="off"/>
        <w:spacing w:before="0" w:after="0" w:line="223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  <w:r>
        <w:rPr>
          <w:rFonts w:ascii="Arial" w:hAnsi="Arial" w:fareast="Arial" w:cs="Arial"/>
          <w:color w:val="ff0000"/>
          <w:w w:val="100"/>
          <w:sz w:val="20"/>
          <w:szCs w:val="20"/>
        </w:rPr>
        <w:t>Evaluation Warning : The document was created with Spire.PDF for .NET.</w:t>
      </w:r>
    </w:p>
    <w:p>
      <w:pPr>
        <w:pStyle w:val="Normal"/>
        <w:autoSpaceDE w:val="off"/>
        <w:autoSpaceDN w:val="off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noProof w:val="on"/>
          <w:color w:val="000000"/>
          <w:sz w:val="14"/>
          <w:szCs w:val="14"/>
        </w:rPr>
        <w:sectPr>
          <w:pgSz w:w="16820" w:h="11900"/>
          <w:pgMar w:top="400" w:right="400" w:bottom="400" w:left="400" w:header="720" w:footer="720"/>
          <w:pgNumType w:start="3"/>
          <w:cols w:space="720" w:sep="off"/>
          <w:docGrid w:line-pitch="31680"/>
        </w:sectPr>
      </w:pP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2" style="position:absolute;margin-left:740.05pt;margin-top:14pt;z-index:-16777084;width:45pt;height:41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3" style="position:absolute;margin-left:62.75pt;margin-top:70.6pt;z-index:-16777080;width:715.9pt;height:16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4" style="position:absolute;margin-left:62.75pt;margin-top:99.4pt;z-index:-16777076;width:716.25pt;height:421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5" style="position:absolute;margin-left:61.75pt;margin-top:69.6pt;z-index:-16777072;width:2.95pt;height:17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6" style="position:absolute;margin-left:61.75pt;margin-top:99.4pt;z-index:-16777068;width:2.95pt;height:32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7" style="position:absolute;margin-left:61.75pt;margin-top:151.45pt;z-index:-16777064;width:2.95pt;height:369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8" style="position:absolute;margin-left:62.75pt;margin-top:69.6pt;z-index:-16777060;width:715.9pt;height:2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" o:title=""/>
          </v:shape>
        </w:pict>
      </w:r>
    </w:p>
    <w:p>
      <w:pPr>
        <w:pStyle w:val="Normal"/>
        <w:autoSpaceDE w:val="off"/>
        <w:autoSpaceDN w:val="off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</w:p>
    <w:p>
      <w:pPr>
        <w:pStyle w:val="Normal"/>
        <w:framePr w:w="1110" w:hAnchor="page" w:vAnchor="page" w:x="1152" w:y="11083"/>
        <w:widowControl w:val="off"/>
        <w:autoSpaceDE w:val="off"/>
        <w:autoSpaceDN w:val="off"/>
        <w:spacing w:before="0" w:after="0" w:line="208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0000"/>
          <w:w w:val="100"/>
          <w:sz w:val="20"/>
          <w:szCs w:val="20"/>
        </w:rPr>
      </w:pPr>
      <w:r>
        <w:rPr>
          <w:rFonts w:ascii="OXPWFG+Arial-BoldMT" w:hAnsi="OXPWFG+Arial-BoldMT" w:fareast="OXPWFG+Arial-BoldMT" w:cs="OXPWFG+Arial-BoldMT"/>
          <w:color w:val="ff0000"/>
          <w:w w:val="100"/>
          <w:sz w:val="20"/>
          <w:szCs w:val="20"/>
        </w:rPr>
        <w:t>savills.fr</w:t>
      </w:r>
    </w:p>
    <w:p>
      <w:pPr>
        <w:pStyle w:val="Normal"/>
        <w:framePr w:w="342" w:hAnchor="page" w:vAnchor="page" w:x="8352" w:y="11085"/>
        <w:widowControl w:val="off"/>
        <w:autoSpaceDE w:val="off"/>
        <w:autoSpaceDN w:val="off"/>
        <w:spacing w:before="0" w:after="0" w:line="208" w:lineRule="exact"/>
        <w:ind w:left="0" w:right="0" w:first-line="0"/>
        <w:jc w:val="left"/>
        <w:rPr>
          <w:rFonts w:ascii="LDEEPM+ArialMT" w:hAnsi="LDEEPM+ArialMT" w:fareast="LDEEPM+ArialMT" w:cs="LDEEPM+ArialMT"/>
          <w:color w:val="ff0000"/>
          <w:w w:val="100"/>
          <w:sz w:val="20"/>
          <w:szCs w:val="20"/>
        </w:rPr>
      </w:pPr>
      <w:r>
        <w:rPr>
          <w:rFonts w:ascii="LDEEPM+ArialMT" w:hAnsi="LDEEPM+ArialMT" w:fareast="LDEEPM+ArialMT" w:cs="LDEEPM+ArialMT"/>
          <w:color w:val="ff0000"/>
          <w:w w:val="100"/>
          <w:sz w:val="20"/>
          <w:szCs w:val="20"/>
        </w:rPr>
        <w:t>3</w:t>
      </w:r>
    </w:p>
    <w:p>
      <w:pPr>
        <w:pStyle w:val="Normal"/>
        <w:framePr w:w="1313" w:hAnchor="page" w:vAnchor="page" w:x="14688" w:y="11083"/>
        <w:widowControl w:val="off"/>
        <w:autoSpaceDE w:val="off"/>
        <w:autoSpaceDN w:val="off"/>
        <w:spacing w:before="0" w:after="0" w:line="208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0000"/>
          <w:w w:val="100"/>
          <w:sz w:val="20"/>
          <w:szCs w:val="20"/>
        </w:rPr>
      </w:pPr>
      <w:r>
        <w:rPr>
          <w:rFonts w:ascii="OXPWFG+Arial-BoldMT" w:hAnsi="OXPWFG+Arial-BoldMT" w:fareast="OXPWFG+Arial-BoldMT" w:cs="OXPWFG+Arial-BoldMT"/>
          <w:color w:val="ff0000"/>
          <w:w w:val="100"/>
          <w:sz w:val="20"/>
          <w:szCs w:val="20"/>
        </w:rPr>
        <w:t>01/12/2023</w:t>
      </w:r>
    </w:p>
    <w:p>
      <w:pPr>
        <w:pStyle w:val="Normal"/>
        <w:framePr w:w="713" w:hAnchor="page" w:vAnchor="page" w:x="1448" w:y="9390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Accessiblity</w:t>
      </w:r>
    </w:p>
    <w:p>
      <w:pPr>
        <w:pStyle w:val="Normal"/>
        <w:framePr w:w="3108" w:hAnchor="page" w:vAnchor="page" w:x="2182" w:y="9390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There are 3 accessible guestrooms (#101, #307 and #407).</w:t>
      </w:r>
    </w:p>
    <w:p>
      <w:pPr>
        <w:pStyle w:val="Normal"/>
        <w:framePr w:w="5637" w:hAnchor="page" w:vAnchor="page" w:x="7539" w:y="9390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Owner to provide the Accessibility Notice included in the last building permit application file for completeness.</w:t>
      </w:r>
    </w:p>
    <w:p>
      <w:pPr>
        <w:pStyle w:val="Normal"/>
        <w:framePr w:w="645" w:hAnchor="page" w:vAnchor="page" w:x="1479" w:y="9095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Fire safety</w:t>
      </w:r>
    </w:p>
    <w:p>
      <w:pPr>
        <w:pStyle w:val="Normal"/>
        <w:framePr w:w="5577" w:hAnchor="page" w:vAnchor="page" w:x="2182" w:y="9095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According to the Security Commission report read on site, the emergency lighting is not functioning properly.</w:t>
      </w:r>
    </w:p>
    <w:p>
      <w:pPr>
        <w:pStyle w:val="Normal"/>
        <w:framePr w:w="1638" w:hAnchor="page" w:vAnchor="page" w:x="7539" w:y="9095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Owner to provide latest report.</w:t>
      </w:r>
    </w:p>
    <w:p>
      <w:pPr>
        <w:pStyle w:val="Normal"/>
        <w:framePr w:w="2810" w:hAnchor="page" w:vAnchor="page" w:x="2182" w:y="8951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limit of 30 persons in occupation of basement 1 level.</w:t>
      </w:r>
    </w:p>
    <w:p>
      <w:pPr>
        <w:pStyle w:val="Normal"/>
        <w:framePr w:w="5904" w:hAnchor="page" w:vAnchor="page" w:x="2182" w:y="8824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restaurant, 31 staff. The certificate had observations (we did not see the full  list). One of the observations is a strict</w:t>
      </w:r>
    </w:p>
    <w:p>
      <w:pPr>
        <w:pStyle w:val="Normal"/>
        <w:framePr w:w="5954" w:hAnchor="page" w:vAnchor="page" w:x="2182" w:y="8696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type N (Restaurant) and X (Sport/Wellness) with a public occupancy of 148 persons  for the hotel, 94 persons for the</w:t>
      </w:r>
    </w:p>
    <w:p>
      <w:pPr>
        <w:pStyle w:val="Normal"/>
        <w:framePr w:w="5814" w:hAnchor="page" w:vAnchor="page" w:x="2182" w:y="8569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The hotel is classified as an ERP (Establishment Open to the  Public) 4th category type O (Hotel) with activities of</w:t>
      </w:r>
    </w:p>
    <w:p>
      <w:pPr>
        <w:pStyle w:val="Normal"/>
        <w:framePr w:w="878" w:hAnchor="page" w:vAnchor="page" w:x="1371" w:y="8442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ERP regulation</w:t>
      </w:r>
    </w:p>
    <w:p>
      <w:pPr>
        <w:pStyle w:val="Normal"/>
        <w:framePr w:w="5838" w:hAnchor="page" w:vAnchor="page" w:x="2182" w:y="8442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The last Security Commission has a favourable opinion and was undertaken on 15 June  2022 (consulted on site).</w:t>
      </w:r>
    </w:p>
    <w:p>
      <w:pPr>
        <w:pStyle w:val="Normal"/>
        <w:framePr w:w="6091" w:hAnchor="page" w:vAnchor="page" w:x="7539" w:y="8442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Owner to provide the Public Access Opening certificate and the last Security Commission certificate for  completeness.</w:t>
      </w:r>
    </w:p>
    <w:p>
      <w:pPr>
        <w:pStyle w:val="Normal"/>
        <w:framePr w:w="581" w:hAnchor="page" w:vAnchor="page" w:x="1505" w:y="8221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Asbestos</w:t>
      </w:r>
    </w:p>
    <w:p>
      <w:pPr>
        <w:pStyle w:val="Normal"/>
        <w:framePr w:w="3668" w:hAnchor="page" w:vAnchor="page" w:x="2182" w:y="8221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No asbestos was seen on the site visit but the building is  of some age.</w:t>
      </w:r>
    </w:p>
    <w:p>
      <w:pPr>
        <w:pStyle w:val="Normal"/>
        <w:framePr w:w="3572" w:hAnchor="page" w:vAnchor="page" w:x="7539" w:y="8221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Owner to provide the Asbestos Report on the hotel for completeness</w:t>
      </w:r>
    </w:p>
    <w:p>
      <w:pPr>
        <w:pStyle w:val="Normal"/>
        <w:framePr w:w="891" w:hAnchor="page" w:vAnchor="page" w:x="1289" w:y="7993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ffff"/>
          <w:w w:val="100"/>
          <w:sz w:val="10"/>
          <w:szCs w:val="10"/>
        </w:rPr>
      </w:pPr>
      <w:r>
        <w:rPr>
          <w:rFonts w:ascii="OXPWFG+Arial-BoldMT" w:hAnsi="OXPWFG+Arial-BoldMT" w:fareast="OXPWFG+Arial-BoldMT" w:cs="OXPWFG+Arial-BoldMT"/>
          <w:color w:val="ffffff"/>
          <w:w w:val="100"/>
          <w:sz w:val="10"/>
          <w:szCs w:val="10"/>
        </w:rPr>
        <w:t>E. Compliance</w:t>
      </w:r>
    </w:p>
    <w:p>
      <w:pPr>
        <w:pStyle w:val="Normal"/>
        <w:framePr w:w="611" w:hAnchor="page" w:vAnchor="page" w:x="1486" w:y="7734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Insurance</w:t>
      </w:r>
    </w:p>
    <w:p>
      <w:pPr>
        <w:pStyle w:val="Normal"/>
        <w:framePr w:w="555" w:hAnchor="page" w:vAnchor="page" w:x="1512" w:y="7607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Decenial</w:t>
      </w:r>
    </w:p>
    <w:p>
      <w:pPr>
        <w:pStyle w:val="Normal"/>
        <w:framePr w:w="5613" w:hAnchor="page" w:vAnchor="page" w:x="2182" w:y="7607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The last works date from 2016 and there should be a residual decennial  insurance on the property until 2026.</w:t>
      </w:r>
    </w:p>
    <w:p>
      <w:pPr>
        <w:pStyle w:val="Normal"/>
        <w:framePr w:w="3679" w:hAnchor="page" w:vAnchor="page" w:x="7539" w:y="7607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Please provide the Decennial Insurance contract and the list of claims.</w:t>
      </w:r>
    </w:p>
    <w:p>
      <w:pPr>
        <w:pStyle w:val="Normal"/>
        <w:framePr w:w="349" w:hAnchor="page" w:vAnchor="page" w:x="1611" w:y="7376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Q&amp;A</w:t>
      </w:r>
    </w:p>
    <w:p>
      <w:pPr>
        <w:pStyle w:val="Normal"/>
        <w:framePr w:w="3409" w:hAnchor="page" w:vAnchor="page" w:x="2182" w:y="7376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Savills has sent Q&amp;A to the owner. We are waiting for responses.</w:t>
      </w:r>
    </w:p>
    <w:p>
      <w:pPr>
        <w:pStyle w:val="Normal"/>
        <w:framePr w:w="1754" w:hAnchor="page" w:vAnchor="page" w:x="7539" w:y="7376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Responses from Owner awaited.</w:t>
      </w:r>
    </w:p>
    <w:p>
      <w:pPr>
        <w:pStyle w:val="Normal"/>
        <w:framePr w:w="1150" w:hAnchor="page" w:vAnchor="page" w:x="2182" w:y="7170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- Emergency lighting</w:t>
      </w:r>
    </w:p>
    <w:p>
      <w:pPr>
        <w:pStyle w:val="Normal"/>
        <w:framePr w:w="4750" w:hAnchor="page" w:vAnchor="page" w:x="7539" w:y="7170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However, Savills need to review the reports to verify the observations that have been made.</w:t>
      </w:r>
    </w:p>
    <w:p>
      <w:pPr>
        <w:pStyle w:val="Normal"/>
        <w:framePr w:w="2630" w:hAnchor="page" w:vAnchor="page" w:x="2182" w:y="7043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- Fire alarm and fire safety panel and components</w:t>
      </w:r>
    </w:p>
    <w:p>
      <w:pPr>
        <w:pStyle w:val="Normal"/>
        <w:framePr w:w="1389" w:hAnchor="page" w:vAnchor="page" w:x="2182" w:y="6916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- Smoke venting systems</w:t>
      </w:r>
    </w:p>
    <w:p>
      <w:pPr>
        <w:pStyle w:val="Normal"/>
        <w:framePr w:w="2578" w:hAnchor="page" w:vAnchor="page" w:x="7539" w:y="6916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- Fire doors: last verification in Septemeber 2023</w:t>
      </w:r>
    </w:p>
    <w:p>
      <w:pPr>
        <w:pStyle w:val="Normal"/>
        <w:framePr w:w="1093" w:hAnchor="page" w:vAnchor="page" w:x="2182" w:y="6788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- Fire Extinguishers</w:t>
      </w:r>
    </w:p>
    <w:p>
      <w:pPr>
        <w:pStyle w:val="Normal"/>
        <w:framePr w:w="3049" w:hAnchor="page" w:vAnchor="page" w:x="7539" w:y="6788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- Lifts: last verification on 17 January 2022 (every 5 years)</w:t>
      </w:r>
    </w:p>
    <w:p>
      <w:pPr>
        <w:pStyle w:val="Normal"/>
        <w:framePr w:w="663" w:hAnchor="page" w:vAnchor="page" w:x="2182" w:y="6661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- Dry risers</w:t>
      </w:r>
    </w:p>
    <w:p>
      <w:pPr>
        <w:pStyle w:val="Normal"/>
        <w:framePr w:w="3326" w:hAnchor="page" w:vAnchor="page" w:x="7539" w:y="6661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- Gas installations: last verification in June 2022 (every 2 years)</w:t>
      </w:r>
    </w:p>
    <w:p>
      <w:pPr>
        <w:pStyle w:val="Normal"/>
        <w:framePr w:w="1014" w:hAnchor="page" w:vAnchor="page" w:x="2182" w:y="6534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- Das installations</w:t>
      </w:r>
    </w:p>
    <w:p>
      <w:pPr>
        <w:pStyle w:val="Normal"/>
        <w:framePr w:w="4453" w:hAnchor="page" w:vAnchor="page" w:x="7539" w:y="6534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- Electrical installations: last verification in April 2023 and March 2023 (Public Access)</w:t>
      </w:r>
    </w:p>
    <w:p>
      <w:pPr>
        <w:pStyle w:val="Normal"/>
        <w:framePr w:w="507" w:hAnchor="page" w:vAnchor="page" w:x="1534" w:y="6407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Reports</w:t>
      </w:r>
    </w:p>
    <w:p>
      <w:pPr>
        <w:pStyle w:val="Normal"/>
        <w:framePr w:w="1278" w:hAnchor="page" w:vAnchor="page" w:x="2182" w:y="6407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- Electrical installations</w:t>
      </w:r>
    </w:p>
    <w:p>
      <w:pPr>
        <w:pStyle w:val="Normal"/>
        <w:framePr w:w="2868" w:hAnchor="page" w:vAnchor="page" w:x="7539" w:y="6407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- Fire alarm panel: last verification on 28 January 2022</w:t>
      </w:r>
    </w:p>
    <w:p>
      <w:pPr>
        <w:pStyle w:val="Normal"/>
        <w:framePr w:w="680" w:hAnchor="page" w:vAnchor="page" w:x="1455" w:y="6280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Verification</w:t>
      </w:r>
    </w:p>
    <w:p>
      <w:pPr>
        <w:pStyle w:val="Normal"/>
        <w:framePr w:w="4772" w:hAnchor="page" w:vAnchor="page" w:x="2182" w:y="6280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This is a list of verification reports not yet seen  which should be reviewed for completeness:-</w:t>
      </w:r>
    </w:p>
    <w:p>
      <w:pPr>
        <w:pStyle w:val="Normal"/>
        <w:framePr w:w="4704" w:hAnchor="page" w:vAnchor="page" w:x="7539" w:y="6280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We have looked at the Security Register on site. The following verifications are up to  date:-</w:t>
      </w:r>
    </w:p>
    <w:p>
      <w:pPr>
        <w:pStyle w:val="Normal"/>
        <w:framePr w:w="1095" w:hAnchor="page" w:vAnchor="page" w:x="2182" w:y="6083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- As-built file (DOE)</w:t>
      </w:r>
    </w:p>
    <w:p>
      <w:pPr>
        <w:pStyle w:val="Normal"/>
        <w:framePr w:w="2505" w:hAnchor="page" w:vAnchor="page" w:x="2182" w:y="5956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- The Building Maintenance Instructions (DIUO)</w:t>
      </w:r>
    </w:p>
    <w:p>
      <w:pPr>
        <w:pStyle w:val="Normal"/>
        <w:framePr w:w="687" w:hAnchor="page" w:vAnchor="page" w:x="1450" w:y="5828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Documents</w:t>
      </w:r>
    </w:p>
    <w:p>
      <w:pPr>
        <w:pStyle w:val="Normal"/>
        <w:framePr w:w="2328" w:hAnchor="page" w:vAnchor="page" w:x="2182" w:y="5828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requirement for building works since 1994):-</w:t>
      </w:r>
    </w:p>
    <w:p>
      <w:pPr>
        <w:pStyle w:val="Normal"/>
        <w:framePr w:w="498" w:hAnchor="page" w:vAnchor="page" w:x="1536" w:y="5701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Missing</w:t>
      </w:r>
    </w:p>
    <w:p>
      <w:pPr>
        <w:pStyle w:val="Normal"/>
        <w:framePr w:w="5903" w:hAnchor="page" w:vAnchor="page" w:x="2182" w:y="5701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The owner should confirm that they hold the following documents for maintenance reasons (the DIUO being  a legal</w:t>
      </w:r>
    </w:p>
    <w:p>
      <w:pPr>
        <w:pStyle w:val="Normal"/>
        <w:framePr w:w="1665" w:hAnchor="page" w:vAnchor="page" w:x="7539" w:y="5701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Documents awaited for review.</w:t>
      </w:r>
    </w:p>
    <w:p>
      <w:pPr>
        <w:pStyle w:val="Normal"/>
        <w:framePr w:w="1782" w:hAnchor="page" w:vAnchor="page" w:x="2182" w:y="5509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- Geometre measurement survey</w:t>
      </w:r>
    </w:p>
    <w:p>
      <w:pPr>
        <w:pStyle w:val="Normal"/>
        <w:framePr w:w="4294" w:hAnchor="page" w:vAnchor="page" w:x="2182" w:y="5382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- Building Permits application file including Security Notice and Accessibility Notice</w:t>
      </w:r>
    </w:p>
    <w:p>
      <w:pPr>
        <w:pStyle w:val="Normal"/>
        <w:framePr w:w="1006" w:hAnchor="page" w:vAnchor="page" w:x="2182" w:y="5255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- Building Permits</w:t>
      </w:r>
    </w:p>
    <w:p>
      <w:pPr>
        <w:pStyle w:val="Normal"/>
        <w:framePr w:w="1773" w:hAnchor="page" w:vAnchor="page" w:x="2182" w:y="5128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- Energy Performance Certificate</w:t>
      </w:r>
    </w:p>
    <w:p>
      <w:pPr>
        <w:pStyle w:val="Normal"/>
        <w:framePr w:w="1398" w:hAnchor="page" w:vAnchor="page" w:x="2182" w:y="5000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- Cadastral Plan and Title</w:t>
      </w:r>
    </w:p>
    <w:p>
      <w:pPr>
        <w:pStyle w:val="Normal"/>
        <w:framePr w:w="687" w:hAnchor="page" w:vAnchor="page" w:x="1450" w:y="4873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Documents</w:t>
      </w:r>
    </w:p>
    <w:p>
      <w:pPr>
        <w:pStyle w:val="Normal"/>
        <w:framePr w:w="1109" w:hAnchor="page" w:vAnchor="page" w:x="2182" w:y="4873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held by the owner):-</w:t>
      </w:r>
    </w:p>
    <w:p>
      <w:pPr>
        <w:pStyle w:val="Normal"/>
        <w:framePr w:w="498" w:hAnchor="page" w:vAnchor="page" w:x="1536" w:y="4746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Missing</w:t>
      </w:r>
    </w:p>
    <w:p>
      <w:pPr>
        <w:pStyle w:val="Normal"/>
        <w:framePr w:w="5753" w:hAnchor="page" w:vAnchor="page" w:x="2182" w:y="4746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The following documents would be useful to review for information but not essential for our report (these may be</w:t>
      </w:r>
    </w:p>
    <w:p>
      <w:pPr>
        <w:pStyle w:val="Normal"/>
        <w:framePr w:w="1665" w:hAnchor="page" w:vAnchor="page" w:x="7539" w:y="4746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Documents awaited for review.</w:t>
      </w:r>
    </w:p>
    <w:p>
      <w:pPr>
        <w:pStyle w:val="Normal"/>
        <w:framePr w:w="2026" w:hAnchor="page" w:vAnchor="page" w:x="2182" w:y="4556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- Last Security Commission certificate</w:t>
      </w:r>
    </w:p>
    <w:p>
      <w:pPr>
        <w:pStyle w:val="Normal"/>
        <w:framePr w:w="687" w:hAnchor="page" w:vAnchor="page" w:x="1450" w:y="4429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Documents</w:t>
      </w:r>
    </w:p>
    <w:p>
      <w:pPr>
        <w:pStyle w:val="Normal"/>
        <w:framePr w:w="1907" w:hAnchor="page" w:vAnchor="page" w:x="2182" w:y="4429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- Public Access Opening Certificate</w:t>
      </w:r>
    </w:p>
    <w:p>
      <w:pPr>
        <w:pStyle w:val="Normal"/>
        <w:framePr w:w="498" w:hAnchor="page" w:vAnchor="page" w:x="1536" w:y="4302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Missing</w:t>
      </w:r>
    </w:p>
    <w:p>
      <w:pPr>
        <w:pStyle w:val="Normal"/>
        <w:framePr w:w="5031" w:hAnchor="page" w:vAnchor="page" w:x="2182" w:y="4302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The following documents are important to review for our report (these may be held by the owner):-</w:t>
      </w:r>
    </w:p>
    <w:p>
      <w:pPr>
        <w:pStyle w:val="Normal"/>
        <w:framePr w:w="1665" w:hAnchor="page" w:vAnchor="page" w:x="7539" w:y="4302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Documents awaited for review.</w:t>
      </w:r>
    </w:p>
    <w:p>
      <w:pPr>
        <w:pStyle w:val="Normal"/>
        <w:framePr w:w="1406" w:hAnchor="page" w:vAnchor="page" w:x="1289" w:y="4074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ffff"/>
          <w:w w:val="100"/>
          <w:sz w:val="10"/>
          <w:szCs w:val="10"/>
        </w:rPr>
      </w:pPr>
      <w:r>
        <w:rPr>
          <w:rFonts w:ascii="OXPWFG+Arial-BoldMT" w:hAnsi="OXPWFG+Arial-BoldMT" w:fareast="OXPWFG+Arial-BoldMT" w:cs="OXPWFG+Arial-BoldMT"/>
          <w:color w:val="ffffff"/>
          <w:w w:val="100"/>
          <w:sz w:val="10"/>
          <w:szCs w:val="10"/>
        </w:rPr>
        <w:t>D. Legal Considerations</w:t>
      </w:r>
    </w:p>
    <w:p>
      <w:pPr>
        <w:pStyle w:val="Normal"/>
        <w:framePr w:w="1234" w:hAnchor="page" w:vAnchor="page" w:x="2182" w:y="3263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greater than 1,000 m².</w:t>
      </w:r>
    </w:p>
    <w:p>
      <w:pPr>
        <w:pStyle w:val="Normal"/>
        <w:framePr w:w="5651" w:hAnchor="page" w:vAnchor="page" w:x="2182" w:y="3136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- Tertiary sector buildings of less than 1,000 m² located on a single site,  with a total combined area equal to or</w:t>
      </w:r>
    </w:p>
    <w:p>
      <w:pPr>
        <w:pStyle w:val="Normal"/>
        <w:framePr w:w="3705" w:hAnchor="page" w:vAnchor="page" w:x="2182" w:y="3008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- Tertiary sector building with an area equal to or greater than 1,000 m²;</w:t>
      </w:r>
    </w:p>
    <w:p>
      <w:pPr>
        <w:pStyle w:val="Normal"/>
        <w:framePr w:w="7788" w:hAnchor="page" w:vAnchor="page" w:x="7539" w:y="3008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Specialist environmental engineers will need to be appointed by the Owner in order to conduct  a more detailed and precise Décret Tertiaire assessment.</w:t>
      </w:r>
    </w:p>
    <w:p>
      <w:pPr>
        <w:pStyle w:val="Normal"/>
        <w:framePr w:w="4655" w:hAnchor="page" w:vAnchor="page" w:x="2182" w:y="2881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- Tertiary activities located within a building with an area equal to or greater than 1,000  m²;</w:t>
      </w:r>
    </w:p>
    <w:p>
      <w:pPr>
        <w:pStyle w:val="Normal"/>
        <w:framePr w:w="6471" w:hAnchor="page" w:vAnchor="page" w:x="7539" w:y="2754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implementing an Energy Management System coupled with the BMS and adding or improving thermal wall  and roof insulation.</w:t>
      </w:r>
    </w:p>
    <w:p>
      <w:pPr>
        <w:pStyle w:val="Normal"/>
        <w:framePr w:w="4859" w:hAnchor="page" w:vAnchor="page" w:x="2182" w:y="2627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This Decree specifically relates to buildings that fall into one of  the following three categories:-</w:t>
      </w:r>
    </w:p>
    <w:p>
      <w:pPr>
        <w:pStyle w:val="Normal"/>
        <w:framePr w:w="7403" w:hAnchor="page" w:vAnchor="page" w:x="7539" w:y="2627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fans coupled with the AC units (if free cooling is  not available), implementing a complete metering strategy for power, heating, cooling and water,</w:t>
      </w:r>
    </w:p>
    <w:p>
      <w:pPr>
        <w:pStyle w:val="Normal"/>
        <w:framePr w:w="7899" w:hAnchor="page" w:vAnchor="page" w:x="7539" w:y="2500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Tertiaire include reducing temperature of hot water, implementing a BMS system for the  HVAC and lighting (to comply with BACS regulation, implementing</w:t>
      </w:r>
    </w:p>
    <w:p>
      <w:pPr>
        <w:pStyle w:val="Normal"/>
        <w:framePr w:w="1728" w:hAnchor="page" w:vAnchor="page" w:x="2182" w:y="2372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- A final 60% reduction by 2050.</w:t>
      </w:r>
    </w:p>
    <w:p>
      <w:pPr>
        <w:pStyle w:val="Normal"/>
        <w:framePr w:w="7509" w:hAnchor="page" w:vAnchor="page" w:x="7539" w:y="2372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covered by the current owner. Typical solutions that will help reduce energy consumption and contribute  to reaching the objective set by the Décret</w:t>
      </w:r>
    </w:p>
    <w:p>
      <w:pPr>
        <w:pStyle w:val="Normal"/>
        <w:framePr w:w="1844" w:hAnchor="page" w:vAnchor="page" w:x="2182" w:y="2245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- A further 50% reduction by 2040;</w:t>
      </w:r>
    </w:p>
    <w:p>
      <w:pPr>
        <w:pStyle w:val="Normal"/>
        <w:framePr w:w="7696" w:hAnchor="page" w:vAnchor="page" w:x="7539" w:y="2245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We have not been provided with the Energy Performance Certificate or the Declaration issued through the  Operat Platform. The cost would need to be</w:t>
      </w:r>
    </w:p>
    <w:p>
      <w:pPr>
        <w:pStyle w:val="Normal"/>
        <w:framePr w:w="1482" w:hAnchor="page" w:vAnchor="page" w:x="2182" w:y="2118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- A 40% reduction by 2030;</w:t>
      </w:r>
    </w:p>
    <w:p>
      <w:pPr>
        <w:pStyle w:val="Normal"/>
        <w:framePr w:w="624" w:hAnchor="page" w:vAnchor="page" w:x="1479" w:y="1991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Reduction</w:t>
      </w:r>
    </w:p>
    <w:p>
      <w:pPr>
        <w:pStyle w:val="Normal"/>
        <w:framePr w:w="7556" w:hAnchor="page" w:vAnchor="page" w:x="7539" w:y="1991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December 2022. The annual consumption for 2020 and 2021 should have also been declared on  the OPERAT platform before 30 September 2022.</w:t>
      </w:r>
    </w:p>
    <w:p>
      <w:pPr>
        <w:pStyle w:val="Normal"/>
        <w:framePr w:w="783" w:hAnchor="page" w:vAnchor="page" w:x="1407" w:y="1864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Consumption</w:t>
      </w:r>
    </w:p>
    <w:p>
      <w:pPr>
        <w:pStyle w:val="Normal"/>
        <w:framePr w:w="4978" w:hAnchor="page" w:vAnchor="page" w:x="2182" w:y="1864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buildings. The objective of the Décret Tertiaire is to reduce energy consumption in  three stages:-</w:t>
      </w:r>
    </w:p>
    <w:p>
      <w:pPr>
        <w:pStyle w:val="Normal"/>
        <w:framePr w:w="7519" w:hAnchor="page" w:vAnchor="page" w:x="7539" w:y="1864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consecutive months of energy consumption between 2010 to 2019 when the hotel  was in occupation), although a tolerance has been given until 31</w:t>
      </w:r>
    </w:p>
    <w:p>
      <w:pPr>
        <w:pStyle w:val="Normal"/>
        <w:framePr w:w="470" w:hAnchor="page" w:vAnchor="page" w:x="1551" w:y="1736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Energy</w:t>
      </w:r>
    </w:p>
    <w:p>
      <w:pPr>
        <w:pStyle w:val="Normal"/>
        <w:framePr w:w="5839" w:hAnchor="page" w:vAnchor="page" w:x="2182" w:y="1736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The Décret Tertiaire is a legal text outlining essential measures for reducing  energy consumption in tertiary sector</w:t>
      </w:r>
    </w:p>
    <w:p>
      <w:pPr>
        <w:pStyle w:val="Normal"/>
        <w:framePr w:w="7564" w:hAnchor="page" w:vAnchor="page" w:x="7539" w:y="1736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00000"/>
          <w:w w:val="100"/>
          <w:sz w:val="10"/>
          <w:szCs w:val="10"/>
        </w:rPr>
        <w:t>The owner of the hotel should have declared the energy consumption reference year on  the OPERAT platform before 30 September 2022 (being 12</w:t>
      </w:r>
    </w:p>
    <w:p>
      <w:pPr>
        <w:pStyle w:val="Normal"/>
        <w:framePr w:w="1895" w:hAnchor="page" w:vAnchor="page" w:x="1289" w:y="1508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ffff"/>
          <w:w w:val="100"/>
          <w:sz w:val="10"/>
          <w:szCs w:val="10"/>
        </w:rPr>
      </w:pPr>
      <w:r>
        <w:rPr>
          <w:rFonts w:ascii="OXPWFG+Arial-BoldMT" w:hAnsi="OXPWFG+Arial-BoldMT" w:fareast="OXPWFG+Arial-BoldMT" w:cs="OXPWFG+Arial-BoldMT"/>
          <w:color w:val="ffffff"/>
          <w:w w:val="100"/>
          <w:sz w:val="10"/>
          <w:szCs w:val="10"/>
        </w:rPr>
        <w:t>C. Environmental Considerations</w:t>
      </w:r>
    </w:p>
    <w:p>
      <w:pPr>
        <w:pStyle w:val="Normal"/>
        <w:framePr w:w="9710" w:hAnchor="page" w:vAnchor="page" w:x="4123" w:y="309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100"/>
          <w:sz w:val="24"/>
          <w:szCs w:val="24"/>
        </w:rPr>
      </w:pPr>
      <w:r>
        <w:rPr>
          <w:rFonts w:ascii="OXPWFG+Arial-BoldMT" w:hAnsi="OXPWFG+Arial-BoldMT" w:fareast="OXPWFG+Arial-BoldMT" w:cs="OXPWFG+Arial-BoldMT"/>
          <w:color w:val="002144"/>
          <w:w w:val="100"/>
          <w:sz w:val="24"/>
          <w:szCs w:val="24"/>
        </w:rPr>
        <w:t>SAVILLS TECHNICAL DUE DILIGENCE RED FLAG AND CAPEX APPRAISAL</w:t>
      </w:r>
    </w:p>
    <w:p>
      <w:pPr>
        <w:pStyle w:val="Normal"/>
        <w:framePr w:w="7434" w:hAnchor="page" w:vAnchor="page" w:x="400" w:y="219"/>
        <w:widowControl w:val="off"/>
        <w:autoSpaceDE w:val="off"/>
        <w:autoSpaceDN w:val="off"/>
        <w:spacing w:before="0" w:after="0" w:line="223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  <w:r>
        <w:rPr>
          <w:rFonts w:ascii="Arial" w:hAnsi="Arial" w:fareast="Arial" w:cs="Arial"/>
          <w:color w:val="ff0000"/>
          <w:w w:val="100"/>
          <w:sz w:val="20"/>
          <w:szCs w:val="20"/>
        </w:rPr>
        <w:t>Evaluation Warning : The document was created with Spire.PDF for .NET.</w:t>
      </w:r>
    </w:p>
    <w:p>
      <w:pPr>
        <w:pStyle w:val="Normal"/>
        <w:autoSpaceDE w:val="off"/>
        <w:autoSpaceDN w:val="off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noProof w:val="on"/>
          <w:color w:val="000000"/>
          <w:sz w:val="14"/>
          <w:szCs w:val="14"/>
        </w:rPr>
        <w:sectPr>
          <w:pgSz w:w="16820" w:h="11900"/>
          <w:pgMar w:top="400" w:right="400" w:bottom="400" w:left="400" w:header="720" w:footer="720"/>
          <w:pgNumType w:start="4"/>
          <w:cols w:space="720" w:sep="off"/>
          <w:docGrid w:line-pitch="31680"/>
        </w:sectPr>
      </w:pP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9" style="position:absolute;margin-left:740.05pt;margin-top:14pt;z-index:-16777056;width:45pt;height:41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0" style="position:absolute;margin-left:62.75pt;margin-top:70.6pt;z-index:-16777052;width:716.25pt;height:443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1" style="position:absolute;margin-left:61.75pt;margin-top:69.6pt;z-index:-16777048;width:2.95pt;height:414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2" style="position:absolute;margin-left:61.75pt;margin-top:481.8pt;z-index:-16777044;width:2.95pt;height:3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3" style="position:absolute;margin-left:62.75pt;margin-top:69.6pt;z-index:-16777040;width:715.9pt;height:2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4" o:title=""/>
          </v:shape>
        </w:pict>
      </w:r>
    </w:p>
    <w:p>
      <w:pPr>
        <w:pStyle w:val="Normal"/>
        <w:autoSpaceDE w:val="off"/>
        <w:autoSpaceDN w:val="off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</w:p>
    <w:p>
      <w:pPr>
        <w:pStyle w:val="Normal"/>
        <w:framePr w:w="1110" w:hAnchor="page" w:vAnchor="page" w:x="1152" w:y="11083"/>
        <w:widowControl w:val="off"/>
        <w:autoSpaceDE w:val="off"/>
        <w:autoSpaceDN w:val="off"/>
        <w:spacing w:before="0" w:after="0" w:line="208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0000"/>
          <w:w w:val="100"/>
          <w:sz w:val="20"/>
          <w:szCs w:val="20"/>
        </w:rPr>
      </w:pPr>
      <w:r>
        <w:rPr>
          <w:rFonts w:ascii="OXPWFG+Arial-BoldMT" w:hAnsi="OXPWFG+Arial-BoldMT" w:fareast="OXPWFG+Arial-BoldMT" w:cs="OXPWFG+Arial-BoldMT"/>
          <w:color w:val="ff0000"/>
          <w:w w:val="100"/>
          <w:sz w:val="20"/>
          <w:szCs w:val="20"/>
        </w:rPr>
        <w:t>savills.fr</w:t>
      </w:r>
    </w:p>
    <w:p>
      <w:pPr>
        <w:pStyle w:val="Normal"/>
        <w:framePr w:w="342" w:hAnchor="page" w:vAnchor="page" w:x="8352" w:y="11085"/>
        <w:widowControl w:val="off"/>
        <w:autoSpaceDE w:val="off"/>
        <w:autoSpaceDN w:val="off"/>
        <w:spacing w:before="0" w:after="0" w:line="208" w:lineRule="exact"/>
        <w:ind w:left="0" w:right="0" w:first-line="0"/>
        <w:jc w:val="left"/>
        <w:rPr>
          <w:rFonts w:ascii="LDEEPM+ArialMT" w:hAnsi="LDEEPM+ArialMT" w:fareast="LDEEPM+ArialMT" w:cs="LDEEPM+ArialMT"/>
          <w:color w:val="ff0000"/>
          <w:w w:val="100"/>
          <w:sz w:val="20"/>
          <w:szCs w:val="20"/>
        </w:rPr>
      </w:pPr>
      <w:r>
        <w:rPr>
          <w:rFonts w:ascii="LDEEPM+ArialMT" w:hAnsi="LDEEPM+ArialMT" w:fareast="LDEEPM+ArialMT" w:cs="LDEEPM+ArialMT"/>
          <w:color w:val="ff0000"/>
          <w:w w:val="100"/>
          <w:sz w:val="20"/>
          <w:szCs w:val="20"/>
        </w:rPr>
        <w:t>3</w:t>
      </w:r>
    </w:p>
    <w:p>
      <w:pPr>
        <w:pStyle w:val="Normal"/>
        <w:framePr w:w="1313" w:hAnchor="page" w:vAnchor="page" w:x="14688" w:y="11083"/>
        <w:widowControl w:val="off"/>
        <w:autoSpaceDE w:val="off"/>
        <w:autoSpaceDN w:val="off"/>
        <w:spacing w:before="0" w:after="0" w:line="208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0000"/>
          <w:w w:val="100"/>
          <w:sz w:val="20"/>
          <w:szCs w:val="20"/>
        </w:rPr>
      </w:pPr>
      <w:r>
        <w:rPr>
          <w:rFonts w:ascii="OXPWFG+Arial-BoldMT" w:hAnsi="OXPWFG+Arial-BoldMT" w:fareast="OXPWFG+Arial-BoldMT" w:cs="OXPWFG+Arial-BoldMT"/>
          <w:color w:val="ff0000"/>
          <w:w w:val="100"/>
          <w:sz w:val="20"/>
          <w:szCs w:val="20"/>
        </w:rPr>
        <w:t>01/12/2023</w:t>
      </w:r>
    </w:p>
    <w:p>
      <w:pPr>
        <w:pStyle w:val="Normal"/>
        <w:framePr w:w="202" w:hAnchor="page" w:vAnchor="page" w:x="1489" w:y="10141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  <w:t>1</w:t>
      </w:r>
    </w:p>
    <w:p>
      <w:pPr>
        <w:pStyle w:val="Normal"/>
        <w:framePr w:w="1249" w:hAnchor="page" w:vAnchor="page" w:x="1822" w:y="10136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>No defect identified.</w:t>
      </w:r>
    </w:p>
    <w:p>
      <w:pPr>
        <w:pStyle w:val="Normal"/>
        <w:framePr w:w="3023" w:hAnchor="page" w:vAnchor="page" w:x="5842" w:y="10136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>No capex allowance required for the next ten years.</w:t>
      </w:r>
    </w:p>
    <w:p>
      <w:pPr>
        <w:pStyle w:val="Normal"/>
        <w:framePr w:w="1002" w:hAnchor="page" w:vAnchor="page" w:x="9826" w:y="10136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  <w:t xml:space="preserve"> €                    - </w:t>
      </w:r>
    </w:p>
    <w:p>
      <w:pPr>
        <w:pStyle w:val="Normal"/>
        <w:framePr w:w="1976" w:hAnchor="page" w:vAnchor="page" w:x="13325" w:y="10136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  <w:t xml:space="preserve"> €                     -    €                    - </w:t>
      </w:r>
    </w:p>
    <w:p>
      <w:pPr>
        <w:pStyle w:val="Normal"/>
        <w:framePr w:w="1988" w:hAnchor="page" w:vAnchor="page" w:x="1255" w:y="997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 xml:space="preserve"> B.3. Domestic Water Services </w:t>
      </w:r>
    </w:p>
    <w:p>
      <w:pPr>
        <w:pStyle w:val="Normal"/>
        <w:framePr w:w="679" w:hAnchor="page" w:vAnchor="page" w:x="8830" w:y="997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6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6"/>
          <w:sz w:val="12"/>
          <w:szCs w:val="12"/>
        </w:rPr>
        <w:t>Sub-total</w:t>
      </w:r>
    </w:p>
    <w:p>
      <w:pPr>
        <w:pStyle w:val="Normal"/>
        <w:framePr w:w="202" w:hAnchor="page" w:vAnchor="page" w:x="9864" w:y="997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0539" w:y="997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0707" w:y="997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1424" w:y="997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1592" w:y="997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2310" w:y="997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2478" w:y="997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3196" w:y="997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3364" w:y="997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4081" w:y="997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4249" w:y="997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4941" w:y="997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3194" w:hAnchor="page" w:vAnchor="page" w:x="5842" w:y="949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>2027, given the nominal capacity of its HVAC systems.</w:t>
      </w:r>
    </w:p>
    <w:p>
      <w:pPr>
        <w:pStyle w:val="Normal"/>
        <w:framePr w:w="2778" w:hAnchor="page" w:vAnchor="page" w:x="1822" w:y="9353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>Automation &amp; Control Systems (BACS) decree.</w:t>
      </w:r>
    </w:p>
    <w:p>
      <w:pPr>
        <w:pStyle w:val="Normal"/>
        <w:framePr w:w="4411" w:hAnchor="page" w:vAnchor="page" w:x="5842" w:y="9353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 xml:space="preserve">cabling and controls as the asset will be subject to this decree by January 1, </w:t>
      </w:r>
    </w:p>
    <w:p>
      <w:pPr>
        <w:pStyle w:val="Normal"/>
        <w:framePr w:w="202" w:hAnchor="page" w:vAnchor="page" w:x="1489" w:y="9214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  <w:t>1</w:t>
      </w:r>
    </w:p>
    <w:p>
      <w:pPr>
        <w:pStyle w:val="Normal"/>
        <w:framePr w:w="4012" w:hAnchor="page" w:vAnchor="page" w:x="1822" w:y="9209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 xml:space="preserve">We recommended that a BMS is installed to comply with the Building </w:t>
      </w:r>
    </w:p>
    <w:p>
      <w:pPr>
        <w:pStyle w:val="Normal"/>
        <w:framePr w:w="4369" w:hAnchor="page" w:vAnchor="page" w:x="5842" w:y="9209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 xml:space="preserve">Capex is provided in the long term for the installation of a BMS workstation, </w:t>
      </w:r>
    </w:p>
    <w:p>
      <w:pPr>
        <w:pStyle w:val="Normal"/>
        <w:framePr w:w="1007" w:hAnchor="page" w:vAnchor="page" w:x="9826" w:y="9209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 xml:space="preserve"> €          55 000 </w:t>
      </w:r>
    </w:p>
    <w:p>
      <w:pPr>
        <w:pStyle w:val="Normal"/>
        <w:framePr w:w="2955" w:hAnchor="page" w:vAnchor="page" w:x="12439" w:y="9209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  <w:t xml:space="preserve"> €           55 000    €                     -    €          55 000 </w:t>
      </w:r>
    </w:p>
    <w:p>
      <w:pPr>
        <w:pStyle w:val="Normal"/>
        <w:framePr w:w="1804" w:hAnchor="page" w:vAnchor="page" w:x="1255" w:y="9051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6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6"/>
          <w:sz w:val="12"/>
          <w:szCs w:val="12"/>
        </w:rPr>
        <w:t xml:space="preserve"> B.2. Electrical Installations </w:t>
      </w:r>
    </w:p>
    <w:p>
      <w:pPr>
        <w:pStyle w:val="Normal"/>
        <w:framePr w:w="679" w:hAnchor="page" w:vAnchor="page" w:x="8830" w:y="9051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6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6"/>
          <w:sz w:val="12"/>
          <w:szCs w:val="12"/>
        </w:rPr>
        <w:t>Sub-total</w:t>
      </w:r>
    </w:p>
    <w:p>
      <w:pPr>
        <w:pStyle w:val="Normal"/>
        <w:framePr w:w="202" w:hAnchor="page" w:vAnchor="page" w:x="9864" w:y="9051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522" w:hAnchor="page" w:vAnchor="page" w:x="10222" w:y="9051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55 000</w:t>
      </w:r>
    </w:p>
    <w:p>
      <w:pPr>
        <w:pStyle w:val="Normal"/>
        <w:framePr w:w="202" w:hAnchor="page" w:vAnchor="page" w:x="10707" w:y="9051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1424" w:y="9051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1592" w:y="9051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2310" w:y="9051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2478" w:y="9051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522" w:hAnchor="page" w:vAnchor="page" w:x="12879" w:y="9051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55 000</w:t>
      </w:r>
    </w:p>
    <w:p>
      <w:pPr>
        <w:pStyle w:val="Normal"/>
        <w:framePr w:w="202" w:hAnchor="page" w:vAnchor="page" w:x="13364" w:y="9051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4081" w:y="9051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4249" w:y="9051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522" w:hAnchor="page" w:vAnchor="page" w:x="14624" w:y="9051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55 000</w:t>
      </w:r>
    </w:p>
    <w:p>
      <w:pPr>
        <w:pStyle w:val="Normal"/>
        <w:framePr w:w="202" w:hAnchor="page" w:vAnchor="page" w:x="1488" w:y="8710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  <w:t>1</w:t>
      </w:r>
    </w:p>
    <w:p>
      <w:pPr>
        <w:pStyle w:val="Normal"/>
        <w:framePr w:w="1249" w:hAnchor="page" w:vAnchor="page" w:x="1822" w:y="870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>No defect identified.</w:t>
      </w:r>
    </w:p>
    <w:p>
      <w:pPr>
        <w:pStyle w:val="Normal"/>
        <w:framePr w:w="3023" w:hAnchor="page" w:vAnchor="page" w:x="5842" w:y="870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>No capex allowance required for the next ten years.</w:t>
      </w:r>
    </w:p>
    <w:p>
      <w:pPr>
        <w:pStyle w:val="Normal"/>
        <w:framePr w:w="1002" w:hAnchor="page" w:vAnchor="page" w:x="9826" w:y="870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  <w:t xml:space="preserve"> €                    - </w:t>
      </w:r>
    </w:p>
    <w:p>
      <w:pPr>
        <w:pStyle w:val="Normal"/>
        <w:framePr w:w="1976" w:hAnchor="page" w:vAnchor="page" w:x="13325" w:y="870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  <w:t xml:space="preserve"> €                     -    €                    - </w:t>
      </w:r>
    </w:p>
    <w:p>
      <w:pPr>
        <w:pStyle w:val="Normal"/>
        <w:framePr w:w="2881" w:hAnchor="page" w:vAnchor="page" w:x="1255" w:y="854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6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6"/>
          <w:sz w:val="12"/>
          <w:szCs w:val="12"/>
        </w:rPr>
        <w:t xml:space="preserve"> B.1. Heating, Ventilation and Cooling (HVAC) </w:t>
      </w:r>
    </w:p>
    <w:p>
      <w:pPr>
        <w:pStyle w:val="Normal"/>
        <w:framePr w:w="679" w:hAnchor="page" w:vAnchor="page" w:x="8830" w:y="854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6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6"/>
          <w:sz w:val="12"/>
          <w:szCs w:val="12"/>
        </w:rPr>
        <w:t>Sub-total</w:t>
      </w:r>
    </w:p>
    <w:p>
      <w:pPr>
        <w:pStyle w:val="Normal"/>
        <w:framePr w:w="202" w:hAnchor="page" w:vAnchor="page" w:x="9864" w:y="854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0539" w:y="854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0707" w:y="854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1424" w:y="854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1592" w:y="854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2310" w:y="854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2478" w:y="854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3196" w:y="854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3364" w:y="854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4081" w:y="854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4249" w:y="854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4940" w:y="854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1589" w:hAnchor="page" w:vAnchor="page" w:x="1255" w:y="8321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ffff"/>
          <w:w w:val="96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ffffff"/>
          <w:w w:val="96"/>
          <w:sz w:val="12"/>
          <w:szCs w:val="12"/>
        </w:rPr>
        <w:t>B. Services Installations</w:t>
      </w:r>
    </w:p>
    <w:p>
      <w:pPr>
        <w:pStyle w:val="Normal"/>
        <w:framePr w:w="202" w:hAnchor="page" w:vAnchor="page" w:x="1488" w:y="775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  <w:t>3</w:t>
      </w:r>
    </w:p>
    <w:p>
      <w:pPr>
        <w:pStyle w:val="Normal"/>
        <w:framePr w:w="4289" w:hAnchor="page" w:vAnchor="page" w:x="1822" w:y="7753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>The epoxy coating applied on the floor of the back of house areas is lifting.</w:t>
      </w:r>
    </w:p>
    <w:p>
      <w:pPr>
        <w:pStyle w:val="Normal"/>
        <w:framePr w:w="4376" w:hAnchor="page" w:vAnchor="page" w:x="5842" w:y="7753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>We include an allowance to reapply the epoxy coating to the affected areas.</w:t>
      </w:r>
    </w:p>
    <w:p>
      <w:pPr>
        <w:pStyle w:val="Normal"/>
        <w:framePr w:w="1004" w:hAnchor="page" w:vAnchor="page" w:x="9826" w:y="7753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 xml:space="preserve"> €            8 000 </w:t>
      </w:r>
    </w:p>
    <w:p>
      <w:pPr>
        <w:pStyle w:val="Normal"/>
        <w:framePr w:w="1978" w:hAnchor="page" w:vAnchor="page" w:x="13325" w:y="7753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  <w:t xml:space="preserve"> €                     -    €            8 000 </w:t>
      </w:r>
    </w:p>
    <w:p>
      <w:pPr>
        <w:pStyle w:val="Normal"/>
        <w:framePr w:w="932" w:hAnchor="page" w:vAnchor="page" w:x="5842" w:y="7534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>waterproofing.</w:t>
      </w:r>
    </w:p>
    <w:p>
      <w:pPr>
        <w:pStyle w:val="Normal"/>
        <w:framePr w:w="1341" w:hAnchor="page" w:vAnchor="page" w:x="1822" w:y="7390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  <w:t>needs to be checked.</w:t>
      </w:r>
    </w:p>
    <w:p>
      <w:pPr>
        <w:pStyle w:val="Normal"/>
        <w:framePr w:w="4184" w:hAnchor="page" w:vAnchor="page" w:x="5842" w:y="7390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 xml:space="preserve">location of the water ingress and undertake the necessary repairs to the </w:t>
      </w:r>
    </w:p>
    <w:p>
      <w:pPr>
        <w:pStyle w:val="Normal"/>
        <w:framePr w:w="202" w:hAnchor="page" w:vAnchor="page" w:x="1488" w:y="7251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  <w:t>2</w:t>
      </w:r>
    </w:p>
    <w:p>
      <w:pPr>
        <w:pStyle w:val="Normal"/>
        <w:framePr w:w="4260" w:hAnchor="page" w:vAnchor="page" w:x="1822" w:y="7246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 xml:space="preserve">Water ingress is visible on the skylight above the pool. The waterproofing </w:t>
      </w:r>
    </w:p>
    <w:p>
      <w:pPr>
        <w:pStyle w:val="Normal"/>
        <w:framePr w:w="4400" w:hAnchor="page" w:vAnchor="page" w:x="5842" w:y="7246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 xml:space="preserve">We allowed for the appointement of a waterproofing specialist to identify the </w:t>
      </w:r>
    </w:p>
    <w:p>
      <w:pPr>
        <w:pStyle w:val="Normal"/>
        <w:framePr w:w="1007" w:hAnchor="page" w:vAnchor="page" w:x="9826" w:y="7246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 xml:space="preserve"> €          10 000 </w:t>
      </w:r>
    </w:p>
    <w:p>
      <w:pPr>
        <w:pStyle w:val="Normal"/>
        <w:framePr w:w="1041" w:hAnchor="page" w:vAnchor="page" w:x="11554" w:y="7246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 xml:space="preserve"> €           10 000 </w:t>
      </w:r>
    </w:p>
    <w:p>
      <w:pPr>
        <w:pStyle w:val="Normal"/>
        <w:framePr w:w="1981" w:hAnchor="page" w:vAnchor="page" w:x="13325" w:y="7246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  <w:t xml:space="preserve"> €                     -    €          10 000 </w:t>
      </w:r>
    </w:p>
    <w:p>
      <w:pPr>
        <w:pStyle w:val="Normal"/>
        <w:framePr w:w="3558" w:hAnchor="page" w:vAnchor="page" w:x="1822" w:y="7054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>issue with the compatibility with the waterproofing membrane.</w:t>
      </w:r>
    </w:p>
    <w:p>
      <w:pPr>
        <w:pStyle w:val="Normal"/>
        <w:framePr w:w="3020" w:hAnchor="page" w:vAnchor="page" w:x="5842" w:y="7054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>the lifting tiles and undertake the necessary repairs.</w:t>
      </w:r>
    </w:p>
    <w:p>
      <w:pPr>
        <w:pStyle w:val="Normal"/>
        <w:framePr w:w="202" w:hAnchor="page" w:vAnchor="page" w:x="1489" w:y="691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  <w:t>1</w:t>
      </w:r>
    </w:p>
    <w:p>
      <w:pPr>
        <w:pStyle w:val="Normal"/>
        <w:framePr w:w="4311" w:hAnchor="page" w:vAnchor="page" w:x="1822" w:y="6910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 xml:space="preserve">The mosaic tiles in the pool are lifting (reccurent issue). There might be an </w:t>
      </w:r>
    </w:p>
    <w:p>
      <w:pPr>
        <w:pStyle w:val="Normal"/>
        <w:framePr w:w="4455" w:hAnchor="page" w:vAnchor="page" w:x="5842" w:y="6910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 xml:space="preserve">We allowed for the appointement of a pool wpecialist to identfy the issue with </w:t>
      </w:r>
    </w:p>
    <w:p>
      <w:pPr>
        <w:pStyle w:val="Normal"/>
        <w:framePr w:w="1007" w:hAnchor="page" w:vAnchor="page" w:x="9826" w:y="6910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 xml:space="preserve"> €          10 000 </w:t>
      </w:r>
    </w:p>
    <w:p>
      <w:pPr>
        <w:pStyle w:val="Normal"/>
        <w:framePr w:w="1041" w:hAnchor="page" w:vAnchor="page" w:x="11554" w:y="6910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 xml:space="preserve"> €           10 000 </w:t>
      </w:r>
    </w:p>
    <w:p>
      <w:pPr>
        <w:pStyle w:val="Normal"/>
        <w:framePr w:w="1981" w:hAnchor="page" w:vAnchor="page" w:x="13325" w:y="6910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  <w:t xml:space="preserve"> €                     -    €          10 000 </w:t>
      </w:r>
    </w:p>
    <w:p>
      <w:pPr>
        <w:pStyle w:val="Normal"/>
        <w:framePr w:w="1305" w:hAnchor="page" w:vAnchor="page" w:x="1255" w:y="6752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6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6"/>
          <w:sz w:val="12"/>
          <w:szCs w:val="12"/>
        </w:rPr>
        <w:t xml:space="preserve"> A.5. Internal Areas </w:t>
      </w:r>
    </w:p>
    <w:p>
      <w:pPr>
        <w:pStyle w:val="Normal"/>
        <w:framePr w:w="679" w:hAnchor="page" w:vAnchor="page" w:x="8830" w:y="6752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6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6"/>
          <w:sz w:val="12"/>
          <w:szCs w:val="12"/>
        </w:rPr>
        <w:t>Sub-total</w:t>
      </w:r>
    </w:p>
    <w:p>
      <w:pPr>
        <w:pStyle w:val="Normal"/>
        <w:framePr w:w="202" w:hAnchor="page" w:vAnchor="page" w:x="9864" w:y="6752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522" w:hAnchor="page" w:vAnchor="page" w:x="10222" w:y="6752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28 000</w:t>
      </w:r>
    </w:p>
    <w:p>
      <w:pPr>
        <w:pStyle w:val="Normal"/>
        <w:framePr w:w="202" w:hAnchor="page" w:vAnchor="page" w:x="10707" w:y="6752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1424" w:y="6752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1592" w:y="6752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522" w:hAnchor="page" w:vAnchor="page" w:x="11993" w:y="6752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20 000</w:t>
      </w:r>
    </w:p>
    <w:p>
      <w:pPr>
        <w:pStyle w:val="Normal"/>
        <w:framePr w:w="202" w:hAnchor="page" w:vAnchor="page" w:x="12478" w:y="6752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3196" w:y="6752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3364" w:y="6752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4081" w:y="6752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4249" w:y="6752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522" w:hAnchor="page" w:vAnchor="page" w:x="14624" w:y="6752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28 000</w:t>
      </w:r>
    </w:p>
    <w:p>
      <w:pPr>
        <w:pStyle w:val="Normal"/>
        <w:framePr w:w="202" w:hAnchor="page" w:vAnchor="page" w:x="1488" w:y="6411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  <w:t>1</w:t>
      </w:r>
    </w:p>
    <w:p>
      <w:pPr>
        <w:pStyle w:val="Normal"/>
        <w:framePr w:w="1249" w:hAnchor="page" w:vAnchor="page" w:x="1822" w:y="6406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>No defect identified.</w:t>
      </w:r>
    </w:p>
    <w:p>
      <w:pPr>
        <w:pStyle w:val="Normal"/>
        <w:framePr w:w="3023" w:hAnchor="page" w:vAnchor="page" w:x="5842" w:y="6406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>No capex allowance required for the next ten years.</w:t>
      </w:r>
    </w:p>
    <w:p>
      <w:pPr>
        <w:pStyle w:val="Normal"/>
        <w:framePr w:w="1002" w:hAnchor="page" w:vAnchor="page" w:x="9826" w:y="6406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  <w:t xml:space="preserve"> €                    - </w:t>
      </w:r>
    </w:p>
    <w:p>
      <w:pPr>
        <w:pStyle w:val="Normal"/>
        <w:framePr w:w="1976" w:hAnchor="page" w:vAnchor="page" w:x="13325" w:y="6406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  <w:t xml:space="preserve"> €                     -    €                    - </w:t>
      </w:r>
    </w:p>
    <w:p>
      <w:pPr>
        <w:pStyle w:val="Normal"/>
        <w:framePr w:w="1350" w:hAnchor="page" w:vAnchor="page" w:x="1255" w:y="6248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6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6"/>
          <w:sz w:val="12"/>
          <w:szCs w:val="12"/>
        </w:rPr>
        <w:t xml:space="preserve"> A.4. External Areas </w:t>
      </w:r>
    </w:p>
    <w:p>
      <w:pPr>
        <w:pStyle w:val="Normal"/>
        <w:framePr w:w="679" w:hAnchor="page" w:vAnchor="page" w:x="8830" w:y="6248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6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6"/>
          <w:sz w:val="12"/>
          <w:szCs w:val="12"/>
        </w:rPr>
        <w:t>Sub-total</w:t>
      </w:r>
    </w:p>
    <w:p>
      <w:pPr>
        <w:pStyle w:val="Normal"/>
        <w:framePr w:w="202" w:hAnchor="page" w:vAnchor="page" w:x="9864" w:y="6248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0539" w:y="6248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0707" w:y="6248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1424" w:y="6248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1592" w:y="6248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2310" w:y="6248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2478" w:y="6248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3196" w:y="6248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3364" w:y="6248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4081" w:y="6248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4249" w:y="6248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4940" w:y="6248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268" w:hAnchor="page" w:vAnchor="page" w:x="1822" w:y="577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  <w:t>No defects seen to courtyard façades.</w:t>
      </w:r>
    </w:p>
    <w:p>
      <w:pPr>
        <w:pStyle w:val="Normal"/>
        <w:framePr w:w="3196" w:hAnchor="page" w:vAnchor="page" w:x="1822" w:y="5489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  <w:t xml:space="preserve">cleaning of the facade would be required before 2026. </w:t>
      </w:r>
    </w:p>
    <w:p>
      <w:pPr>
        <w:pStyle w:val="Normal"/>
        <w:framePr w:w="4060" w:hAnchor="page" w:vAnchor="page" w:x="1822" w:y="534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 xml:space="preserve">required every 10 years. As the last renovation was done in 2016, the </w:t>
      </w:r>
    </w:p>
    <w:p>
      <w:pPr>
        <w:pStyle w:val="Normal"/>
        <w:framePr w:w="4205" w:hAnchor="page" w:vAnchor="page" w:x="1822" w:y="5201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 xml:space="preserve">defects. In accordance with the regulation, the cleaning of the facades is </w:t>
      </w:r>
    </w:p>
    <w:p>
      <w:pPr>
        <w:pStyle w:val="Normal"/>
        <w:framePr w:w="1730" w:hAnchor="page" w:vAnchor="page" w:x="5842" w:y="5201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>facades in the medium term.</w:t>
      </w:r>
    </w:p>
    <w:p>
      <w:pPr>
        <w:pStyle w:val="Normal"/>
        <w:framePr w:w="202" w:hAnchor="page" w:vAnchor="page" w:x="1489" w:y="5062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  <w:t>1</w:t>
      </w:r>
    </w:p>
    <w:p>
      <w:pPr>
        <w:pStyle w:val="Normal"/>
        <w:framePr w:w="4207" w:hAnchor="page" w:vAnchor="page" w:x="1822" w:y="505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 xml:space="preserve">The facades to the building appear to be in good condition with no major </w:t>
      </w:r>
    </w:p>
    <w:p>
      <w:pPr>
        <w:pStyle w:val="Normal"/>
        <w:framePr w:w="4366" w:hAnchor="page" w:vAnchor="page" w:x="5842" w:y="505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  <w:t xml:space="preserve">We include a small capex for the future cleaning and repainting of the main </w:t>
      </w:r>
    </w:p>
    <w:p>
      <w:pPr>
        <w:pStyle w:val="Normal"/>
        <w:framePr w:w="1007" w:hAnchor="page" w:vAnchor="page" w:x="9826" w:y="505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 xml:space="preserve"> €          50 000 </w:t>
      </w:r>
    </w:p>
    <w:p>
      <w:pPr>
        <w:pStyle w:val="Normal"/>
        <w:framePr w:w="1041" w:hAnchor="page" w:vAnchor="page" w:x="11554" w:y="505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 xml:space="preserve"> €           50 000 </w:t>
      </w:r>
    </w:p>
    <w:p>
      <w:pPr>
        <w:pStyle w:val="Normal"/>
        <w:framePr w:w="1981" w:hAnchor="page" w:vAnchor="page" w:x="13325" w:y="505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  <w:t xml:space="preserve"> €                     -    €          50 000 </w:t>
      </w:r>
    </w:p>
    <w:p>
      <w:pPr>
        <w:pStyle w:val="Normal"/>
        <w:framePr w:w="972" w:hAnchor="page" w:vAnchor="page" w:x="1255" w:y="4899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6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6"/>
          <w:sz w:val="12"/>
          <w:szCs w:val="12"/>
        </w:rPr>
        <w:t xml:space="preserve"> A.3. Facades </w:t>
      </w:r>
    </w:p>
    <w:p>
      <w:pPr>
        <w:pStyle w:val="Normal"/>
        <w:framePr w:w="679" w:hAnchor="page" w:vAnchor="page" w:x="8830" w:y="4899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6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6"/>
          <w:sz w:val="12"/>
          <w:szCs w:val="12"/>
        </w:rPr>
        <w:t>Sub-total</w:t>
      </w:r>
    </w:p>
    <w:p>
      <w:pPr>
        <w:pStyle w:val="Normal"/>
        <w:framePr w:w="202" w:hAnchor="page" w:vAnchor="page" w:x="9864" w:y="4899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522" w:hAnchor="page" w:vAnchor="page" w:x="10222" w:y="4899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50 000</w:t>
      </w:r>
    </w:p>
    <w:p>
      <w:pPr>
        <w:pStyle w:val="Normal"/>
        <w:framePr w:w="202" w:hAnchor="page" w:vAnchor="page" w:x="10707" w:y="4899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1424" w:y="4899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1592" w:y="4899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522" w:hAnchor="page" w:vAnchor="page" w:x="11993" w:y="4899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50 000</w:t>
      </w:r>
    </w:p>
    <w:p>
      <w:pPr>
        <w:pStyle w:val="Normal"/>
        <w:framePr w:w="202" w:hAnchor="page" w:vAnchor="page" w:x="12478" w:y="4899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3196" w:y="4899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3364" w:y="4899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4081" w:y="4899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4249" w:y="4899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522" w:hAnchor="page" w:vAnchor="page" w:x="14624" w:y="4899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50 000</w:t>
      </w:r>
    </w:p>
    <w:p>
      <w:pPr>
        <w:pStyle w:val="Normal"/>
        <w:framePr w:w="202" w:hAnchor="page" w:vAnchor="page" w:x="1488" w:y="4558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  <w:t>1</w:t>
      </w:r>
    </w:p>
    <w:p>
      <w:pPr>
        <w:pStyle w:val="Normal"/>
        <w:framePr w:w="1249" w:hAnchor="page" w:vAnchor="page" w:x="1822" w:y="4553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>No defect identified.</w:t>
      </w:r>
    </w:p>
    <w:p>
      <w:pPr>
        <w:pStyle w:val="Normal"/>
        <w:framePr w:w="3023" w:hAnchor="page" w:vAnchor="page" w:x="5842" w:y="4553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>No capex allowance required for the next ten years.</w:t>
      </w:r>
    </w:p>
    <w:p>
      <w:pPr>
        <w:pStyle w:val="Normal"/>
        <w:framePr w:w="1002" w:hAnchor="page" w:vAnchor="page" w:x="9826" w:y="4553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  <w:t xml:space="preserve"> €                    - </w:t>
      </w:r>
    </w:p>
    <w:p>
      <w:pPr>
        <w:pStyle w:val="Normal"/>
        <w:framePr w:w="1976" w:hAnchor="page" w:vAnchor="page" w:x="13325" w:y="4553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  <w:t xml:space="preserve"> €                     -    €                    - </w:t>
      </w:r>
    </w:p>
    <w:p>
      <w:pPr>
        <w:pStyle w:val="Normal"/>
        <w:framePr w:w="786" w:hAnchor="page" w:vAnchor="page" w:x="1255" w:y="439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5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5"/>
          <w:sz w:val="12"/>
          <w:szCs w:val="12"/>
        </w:rPr>
        <w:t xml:space="preserve"> A.2. Roofs</w:t>
      </w:r>
    </w:p>
    <w:p>
      <w:pPr>
        <w:pStyle w:val="Normal"/>
        <w:framePr w:w="679" w:hAnchor="page" w:vAnchor="page" w:x="8830" w:y="439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6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6"/>
          <w:sz w:val="12"/>
          <w:szCs w:val="12"/>
        </w:rPr>
        <w:t>Sub-total</w:t>
      </w:r>
    </w:p>
    <w:p>
      <w:pPr>
        <w:pStyle w:val="Normal"/>
        <w:framePr w:w="202" w:hAnchor="page" w:vAnchor="page" w:x="9864" w:y="439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0539" w:y="439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0707" w:y="439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1424" w:y="439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1592" w:y="439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2310" w:y="439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2478" w:y="439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3196" w:y="439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3364" w:y="439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4081" w:y="439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4249" w:y="439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4940" w:y="439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488" w:y="4078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  <w:t>1</w:t>
      </w:r>
    </w:p>
    <w:p>
      <w:pPr>
        <w:pStyle w:val="Normal"/>
        <w:framePr w:w="1249" w:hAnchor="page" w:vAnchor="page" w:x="1822" w:y="4073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>No defect identified.</w:t>
      </w:r>
    </w:p>
    <w:p>
      <w:pPr>
        <w:pStyle w:val="Normal"/>
        <w:framePr w:w="3023" w:hAnchor="page" w:vAnchor="page" w:x="5842" w:y="4073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>No capex allowance required for the next ten years.</w:t>
      </w:r>
    </w:p>
    <w:p>
      <w:pPr>
        <w:pStyle w:val="Normal"/>
        <w:framePr w:w="1002" w:hAnchor="page" w:vAnchor="page" w:x="9826" w:y="4073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  <w:t xml:space="preserve"> €                    - </w:t>
      </w:r>
    </w:p>
    <w:p>
      <w:pPr>
        <w:pStyle w:val="Normal"/>
        <w:framePr w:w="1976" w:hAnchor="page" w:vAnchor="page" w:x="13325" w:y="4073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  <w:t xml:space="preserve"> €                     -    €                    - </w:t>
      </w:r>
    </w:p>
    <w:p>
      <w:pPr>
        <w:pStyle w:val="Normal"/>
        <w:framePr w:w="992" w:hAnchor="page" w:vAnchor="page" w:x="1255" w:y="391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6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6"/>
          <w:sz w:val="12"/>
          <w:szCs w:val="12"/>
        </w:rPr>
        <w:t xml:space="preserve"> A.1. Structure</w:t>
      </w:r>
    </w:p>
    <w:p>
      <w:pPr>
        <w:pStyle w:val="Normal"/>
        <w:framePr w:w="202" w:hAnchor="page" w:vAnchor="page" w:x="9864" w:y="391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0539" w:y="391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0707" w:y="391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1424" w:y="391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1592" w:y="391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2310" w:y="391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2478" w:y="391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3196" w:y="391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3364" w:y="391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4081" w:y="391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4249" w:y="391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4940" w:y="391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1203" w:hAnchor="page" w:vAnchor="page" w:x="1255" w:y="3689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ffff"/>
          <w:w w:val="95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ffffff"/>
          <w:w w:val="95"/>
          <w:sz w:val="12"/>
          <w:szCs w:val="12"/>
        </w:rPr>
        <w:t>A. Building Fabric</w:t>
      </w:r>
    </w:p>
    <w:p>
      <w:pPr>
        <w:pStyle w:val="Normal"/>
        <w:framePr w:w="808" w:hAnchor="page" w:vAnchor="page" w:x="13438" w:y="3392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ffff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ffffff"/>
          <w:w w:val="97"/>
          <w:sz w:val="12"/>
          <w:szCs w:val="12"/>
        </w:rPr>
        <w:t>tenant cost</w:t>
      </w:r>
    </w:p>
    <w:p>
      <w:pPr>
        <w:pStyle w:val="Normal"/>
        <w:framePr w:w="517" w:hAnchor="page" w:vAnchor="page" w:x="10913" w:y="331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ffff"/>
          <w:w w:val="98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ffffff"/>
          <w:w w:val="98"/>
          <w:sz w:val="12"/>
          <w:szCs w:val="12"/>
        </w:rPr>
        <w:t>Year 1</w:t>
      </w:r>
    </w:p>
    <w:p>
      <w:pPr>
        <w:pStyle w:val="Normal"/>
        <w:framePr w:w="630" w:hAnchor="page" w:vAnchor="page" w:x="11746" w:y="331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ffff"/>
          <w:w w:val="98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ffffff"/>
          <w:w w:val="98"/>
          <w:sz w:val="12"/>
          <w:szCs w:val="12"/>
        </w:rPr>
        <w:t>Year 2-5</w:t>
      </w:r>
    </w:p>
    <w:p>
      <w:pPr>
        <w:pStyle w:val="Normal"/>
        <w:framePr w:w="701" w:hAnchor="page" w:vAnchor="page" w:x="12598" w:y="331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ffff"/>
          <w:w w:val="98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ffffff"/>
          <w:w w:val="98"/>
          <w:sz w:val="12"/>
          <w:szCs w:val="12"/>
        </w:rPr>
        <w:t>Year 6-10</w:t>
      </w:r>
    </w:p>
    <w:p>
      <w:pPr>
        <w:pStyle w:val="Normal"/>
        <w:framePr w:w="393" w:hAnchor="page" w:vAnchor="page" w:x="14496" w:y="331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ffff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ffffff"/>
          <w:w w:val="97"/>
          <w:sz w:val="12"/>
          <w:szCs w:val="12"/>
        </w:rPr>
        <w:t>cost</w:t>
      </w:r>
    </w:p>
    <w:p>
      <w:pPr>
        <w:pStyle w:val="Normal"/>
        <w:framePr w:w="526" w:hAnchor="page" w:vAnchor="page" w:x="15137" w:y="331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ffff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ffffff"/>
          <w:w w:val="97"/>
          <w:sz w:val="12"/>
          <w:szCs w:val="12"/>
        </w:rPr>
        <w:t>Rating</w:t>
      </w:r>
    </w:p>
    <w:p>
      <w:pPr>
        <w:pStyle w:val="Normal"/>
        <w:framePr w:w="661" w:hAnchor="page" w:vAnchor="page" w:x="1282" w:y="3241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ffff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ffffff"/>
          <w:w w:val="97"/>
          <w:sz w:val="12"/>
          <w:szCs w:val="12"/>
        </w:rPr>
        <w:t xml:space="preserve">Element </w:t>
      </w:r>
    </w:p>
    <w:p>
      <w:pPr>
        <w:pStyle w:val="Normal"/>
        <w:framePr w:w="1287" w:hAnchor="page" w:vAnchor="page" w:x="3291" w:y="3241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ffff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ffffff"/>
          <w:w w:val="97"/>
          <w:sz w:val="12"/>
          <w:szCs w:val="12"/>
        </w:rPr>
        <w:t xml:space="preserve">Key Consideration </w:t>
      </w:r>
    </w:p>
    <w:p>
      <w:pPr>
        <w:pStyle w:val="Normal"/>
        <w:framePr w:w="1189" w:hAnchor="page" w:vAnchor="page" w:x="7337" w:y="3241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ffff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ffffff"/>
          <w:w w:val="97"/>
          <w:sz w:val="12"/>
          <w:szCs w:val="12"/>
        </w:rPr>
        <w:t xml:space="preserve">Savills Comment </w:t>
      </w:r>
    </w:p>
    <w:p>
      <w:pPr>
        <w:pStyle w:val="Normal"/>
        <w:framePr w:w="436" w:hAnchor="page" w:vAnchor="page" w:x="10085" w:y="3243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ffff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ffffff"/>
          <w:w w:val="97"/>
          <w:sz w:val="12"/>
          <w:szCs w:val="12"/>
        </w:rPr>
        <w:t>Total</w:t>
      </w:r>
    </w:p>
    <w:p>
      <w:pPr>
        <w:pStyle w:val="Normal"/>
        <w:framePr w:w="951" w:hAnchor="page" w:vAnchor="page" w:x="13387" w:y="3243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ffff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ffffff"/>
          <w:w w:val="97"/>
          <w:sz w:val="12"/>
          <w:szCs w:val="12"/>
        </w:rPr>
        <w:t xml:space="preserve">recoverable / </w:t>
      </w:r>
    </w:p>
    <w:p>
      <w:pPr>
        <w:pStyle w:val="Normal"/>
        <w:framePr w:w="810" w:hAnchor="page" w:vAnchor="page" w:x="10779" w:y="3169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ffff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ffffff"/>
          <w:w w:val="97"/>
          <w:sz w:val="12"/>
          <w:szCs w:val="12"/>
        </w:rPr>
        <w:t>Short Term</w:t>
      </w:r>
    </w:p>
    <w:p>
      <w:pPr>
        <w:pStyle w:val="Normal"/>
        <w:framePr w:w="960" w:hAnchor="page" w:vAnchor="page" w:x="11595" w:y="3169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ffff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ffffff"/>
          <w:w w:val="97"/>
          <w:sz w:val="12"/>
          <w:szCs w:val="12"/>
        </w:rPr>
        <w:t>Medium Term</w:t>
      </w:r>
    </w:p>
    <w:p>
      <w:pPr>
        <w:pStyle w:val="Normal"/>
        <w:framePr w:w="786" w:hAnchor="page" w:vAnchor="page" w:x="12559" w:y="3169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ffff"/>
          <w:w w:val="96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ffffff"/>
          <w:w w:val="96"/>
          <w:sz w:val="12"/>
          <w:szCs w:val="12"/>
        </w:rPr>
        <w:t>Long Term</w:t>
      </w:r>
    </w:p>
    <w:p>
      <w:pPr>
        <w:pStyle w:val="Normal"/>
        <w:framePr w:w="1052" w:hAnchor="page" w:vAnchor="page" w:x="14213" w:y="3169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ffff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ffffff"/>
          <w:w w:val="97"/>
          <w:sz w:val="12"/>
          <w:szCs w:val="12"/>
        </w:rPr>
        <w:t xml:space="preserve">Capex / Owner </w:t>
      </w:r>
    </w:p>
    <w:p>
      <w:pPr>
        <w:pStyle w:val="Normal"/>
        <w:framePr w:w="400" w:hAnchor="page" w:vAnchor="page" w:x="15195" w:y="3169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ffff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ffffff"/>
          <w:w w:val="97"/>
          <w:sz w:val="12"/>
          <w:szCs w:val="12"/>
        </w:rPr>
        <w:t>Risk</w:t>
      </w:r>
    </w:p>
    <w:p>
      <w:pPr>
        <w:pStyle w:val="Normal"/>
        <w:framePr w:w="1072" w:hAnchor="page" w:vAnchor="page" w:x="13332" w:y="3094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ffff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ffffff"/>
          <w:w w:val="97"/>
          <w:sz w:val="12"/>
          <w:szCs w:val="12"/>
        </w:rPr>
        <w:t xml:space="preserve">Service charge </w:t>
      </w:r>
    </w:p>
    <w:p>
      <w:pPr>
        <w:pStyle w:val="Normal"/>
        <w:framePr w:w="1509" w:hAnchor="page" w:vAnchor="page" w:x="1255" w:y="2643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ffff"/>
          <w:w w:val="96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ffffff"/>
          <w:w w:val="96"/>
          <w:sz w:val="12"/>
          <w:szCs w:val="12"/>
        </w:rPr>
        <w:t xml:space="preserve">CAPEX ASSESSMENT </w:t>
      </w:r>
    </w:p>
    <w:p>
      <w:pPr>
        <w:pStyle w:val="Normal"/>
        <w:framePr w:w="1421" w:hAnchor="page" w:vAnchor="page" w:x="1255" w:y="228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  <w:t xml:space="preserve">Version - Report issue </w:t>
      </w:r>
    </w:p>
    <w:p>
      <w:pPr>
        <w:pStyle w:val="Normal"/>
        <w:framePr w:w="770" w:hAnchor="page" w:vAnchor="page" w:x="2626" w:y="228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  <w:t>01.12.2023</w:t>
      </w:r>
    </w:p>
    <w:p>
      <w:pPr>
        <w:pStyle w:val="Normal"/>
        <w:framePr w:w="917" w:hAnchor="page" w:vAnchor="page" w:x="1255" w:y="2146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>Site visit date:</w:t>
      </w:r>
    </w:p>
    <w:p>
      <w:pPr>
        <w:pStyle w:val="Normal"/>
        <w:framePr w:w="1218" w:hAnchor="page" w:vAnchor="page" w:x="2626" w:y="2146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  <w:t>16 November 2023</w:t>
      </w:r>
    </w:p>
    <w:p>
      <w:pPr>
        <w:pStyle w:val="Normal"/>
        <w:framePr w:w="1075" w:hAnchor="page" w:vAnchor="page" w:x="1255" w:y="200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>Purpose of TDD:</w:t>
      </w:r>
    </w:p>
    <w:p>
      <w:pPr>
        <w:pStyle w:val="Normal"/>
        <w:framePr w:w="1358" w:hAnchor="page" w:vAnchor="page" w:x="2626" w:y="200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  <w:t>Red Flag TDD Report</w:t>
      </w:r>
    </w:p>
    <w:p>
      <w:pPr>
        <w:pStyle w:val="Normal"/>
        <w:framePr w:w="1133" w:hAnchor="page" w:vAnchor="page" w:x="1255" w:y="1868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  <w:t>Property address:</w:t>
      </w:r>
    </w:p>
    <w:p>
      <w:pPr>
        <w:pStyle w:val="Normal"/>
        <w:framePr w:w="2835" w:hAnchor="page" w:vAnchor="page" w:x="2626" w:y="1868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  <w:t>23/25 Rue du Pont Neuf, 75001 Paris, FRANCE</w:t>
      </w:r>
    </w:p>
    <w:p>
      <w:pPr>
        <w:pStyle w:val="Normal"/>
        <w:framePr w:w="1673" w:hAnchor="page" w:vAnchor="page" w:x="1255" w:y="1498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ffff"/>
          <w:w w:val="96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ffffff"/>
          <w:w w:val="96"/>
          <w:sz w:val="12"/>
          <w:szCs w:val="12"/>
        </w:rPr>
        <w:t>GENERAL INFORMATION</w:t>
      </w:r>
    </w:p>
    <w:p>
      <w:pPr>
        <w:pStyle w:val="Normal"/>
        <w:framePr w:w="9710" w:hAnchor="page" w:vAnchor="page" w:x="4123" w:y="309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100"/>
          <w:sz w:val="24"/>
          <w:szCs w:val="24"/>
        </w:rPr>
      </w:pPr>
      <w:r>
        <w:rPr>
          <w:rFonts w:ascii="OXPWFG+Arial-BoldMT" w:hAnsi="OXPWFG+Arial-BoldMT" w:fareast="OXPWFG+Arial-BoldMT" w:cs="OXPWFG+Arial-BoldMT"/>
          <w:color w:val="002144"/>
          <w:w w:val="100"/>
          <w:sz w:val="24"/>
          <w:szCs w:val="24"/>
        </w:rPr>
        <w:t>SAVILLS TECHNICAL DUE DILIGENCE RED FLAG AND CAPEX APPRAISAL</w:t>
      </w:r>
    </w:p>
    <w:p>
      <w:pPr>
        <w:pStyle w:val="Normal"/>
        <w:framePr w:w="7434" w:hAnchor="page" w:vAnchor="page" w:x="400" w:y="219"/>
        <w:widowControl w:val="off"/>
        <w:autoSpaceDE w:val="off"/>
        <w:autoSpaceDN w:val="off"/>
        <w:spacing w:before="0" w:after="0" w:line="223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  <w:r>
        <w:rPr>
          <w:rFonts w:ascii="Arial" w:hAnsi="Arial" w:fareast="Arial" w:cs="Arial"/>
          <w:color w:val="ff0000"/>
          <w:w w:val="100"/>
          <w:sz w:val="20"/>
          <w:szCs w:val="20"/>
        </w:rPr>
        <w:t>Evaluation Warning : The document was created with Spire.PDF for .NET.</w:t>
      </w:r>
    </w:p>
    <w:p>
      <w:pPr>
        <w:pStyle w:val="Normal"/>
        <w:autoSpaceDE w:val="off"/>
        <w:autoSpaceDN w:val="off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noProof w:val="on"/>
          <w:color w:val="000000"/>
          <w:sz w:val="14"/>
          <w:szCs w:val="14"/>
        </w:rPr>
        <w:sectPr>
          <w:pgSz w:w="16820" w:h="11900"/>
          <w:pgMar w:top="400" w:right="400" w:bottom="400" w:left="400" w:header="720" w:footer="720"/>
          <w:pgNumType w:start="5"/>
          <w:cols w:space="720" w:sep="off"/>
          <w:docGrid w:line-pitch="31680"/>
        </w:sectPr>
      </w:pP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4" style="position:absolute;margin-left:740.05pt;margin-top:14pt;z-index:-16777036;width:45pt;height:41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5" style="position:absolute;margin-left:59.95pt;margin-top:69.6pt;z-index:-16777032;width:720.8pt;height:16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6" style="position:absolute;margin-left:59.95pt;margin-top:126.5pt;z-index:-16777028;width:720.8pt;height:17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7" style="position:absolute;margin-left:59.95pt;margin-top:148.8pt;z-index:-16777024;width:720.8pt;height:375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8" o:title=""/>
          </v:shape>
        </w:pict>
      </w:r>
    </w:p>
    <w:p>
      <w:pPr>
        <w:pStyle w:val="Normal"/>
        <w:autoSpaceDE w:val="off"/>
        <w:autoSpaceDN w:val="off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</w:p>
    <w:p>
      <w:pPr>
        <w:pStyle w:val="Normal"/>
        <w:framePr w:w="1110" w:hAnchor="page" w:vAnchor="page" w:x="1152" w:y="11083"/>
        <w:widowControl w:val="off"/>
        <w:autoSpaceDE w:val="off"/>
        <w:autoSpaceDN w:val="off"/>
        <w:spacing w:before="0" w:after="0" w:line="208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0000"/>
          <w:w w:val="100"/>
          <w:sz w:val="20"/>
          <w:szCs w:val="20"/>
        </w:rPr>
      </w:pPr>
      <w:r>
        <w:rPr>
          <w:rFonts w:ascii="OXPWFG+Arial-BoldMT" w:hAnsi="OXPWFG+Arial-BoldMT" w:fareast="OXPWFG+Arial-BoldMT" w:cs="OXPWFG+Arial-BoldMT"/>
          <w:color w:val="ff0000"/>
          <w:w w:val="100"/>
          <w:sz w:val="20"/>
          <w:szCs w:val="20"/>
        </w:rPr>
        <w:t>savills.fr</w:t>
      </w:r>
    </w:p>
    <w:p>
      <w:pPr>
        <w:pStyle w:val="Normal"/>
        <w:framePr w:w="342" w:hAnchor="page" w:vAnchor="page" w:x="8352" w:y="11085"/>
        <w:widowControl w:val="off"/>
        <w:autoSpaceDE w:val="off"/>
        <w:autoSpaceDN w:val="off"/>
        <w:spacing w:before="0" w:after="0" w:line="208" w:lineRule="exact"/>
        <w:ind w:left="0" w:right="0" w:first-line="0"/>
        <w:jc w:val="left"/>
        <w:rPr>
          <w:rFonts w:ascii="LDEEPM+ArialMT" w:hAnsi="LDEEPM+ArialMT" w:fareast="LDEEPM+ArialMT" w:cs="LDEEPM+ArialMT"/>
          <w:color w:val="ff0000"/>
          <w:w w:val="100"/>
          <w:sz w:val="20"/>
          <w:szCs w:val="20"/>
        </w:rPr>
      </w:pPr>
      <w:r>
        <w:rPr>
          <w:rFonts w:ascii="LDEEPM+ArialMT" w:hAnsi="LDEEPM+ArialMT" w:fareast="LDEEPM+ArialMT" w:cs="LDEEPM+ArialMT"/>
          <w:color w:val="ff0000"/>
          <w:w w:val="100"/>
          <w:sz w:val="20"/>
          <w:szCs w:val="20"/>
        </w:rPr>
        <w:t>4</w:t>
      </w:r>
    </w:p>
    <w:p>
      <w:pPr>
        <w:pStyle w:val="Normal"/>
        <w:framePr w:w="1313" w:hAnchor="page" w:vAnchor="page" w:x="14688" w:y="11083"/>
        <w:widowControl w:val="off"/>
        <w:autoSpaceDE w:val="off"/>
        <w:autoSpaceDN w:val="off"/>
        <w:spacing w:before="0" w:after="0" w:line="208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0000"/>
          <w:w w:val="100"/>
          <w:sz w:val="20"/>
          <w:szCs w:val="20"/>
        </w:rPr>
      </w:pPr>
      <w:r>
        <w:rPr>
          <w:rFonts w:ascii="OXPWFG+Arial-BoldMT" w:hAnsi="OXPWFG+Arial-BoldMT" w:fareast="OXPWFG+Arial-BoldMT" w:cs="OXPWFG+Arial-BoldMT"/>
          <w:color w:val="ff0000"/>
          <w:w w:val="100"/>
          <w:sz w:val="20"/>
          <w:szCs w:val="20"/>
        </w:rPr>
        <w:t>01/12/2023</w:t>
      </w:r>
    </w:p>
    <w:p>
      <w:pPr>
        <w:pStyle w:val="Normal"/>
        <w:framePr w:w="9213" w:hAnchor="page" w:vAnchor="page" w:x="2626" w:y="6881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>Our Capex does not include routine maintenance, cyclical decoration or cleaning, except where these works are required to address defects or compliance issues.</w:t>
      </w:r>
    </w:p>
    <w:p>
      <w:pPr>
        <w:pStyle w:val="Normal"/>
        <w:framePr w:w="9543" w:hAnchor="page" w:vAnchor="page" w:x="2626" w:y="6713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>The Capex budget does not include minor repairs and a threshold of €5,000 is used for this report. Cost items below this threshold have not been included in the Capex.</w:t>
      </w:r>
    </w:p>
    <w:p>
      <w:pPr>
        <w:pStyle w:val="Normal"/>
        <w:framePr w:w="397" w:hAnchor="page" w:vAnchor="page" w:x="2626" w:y="637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 xml:space="preserve">Low </w:t>
      </w:r>
    </w:p>
    <w:p>
      <w:pPr>
        <w:pStyle w:val="Normal"/>
        <w:framePr w:w="4860" w:hAnchor="page" w:vAnchor="page" w:x="3430" w:y="637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>A minor issue which is not considered to constitute a material issue in the short term.</w:t>
      </w:r>
    </w:p>
    <w:p>
      <w:pPr>
        <w:pStyle w:val="Normal"/>
        <w:framePr w:w="616" w:hAnchor="page" w:vAnchor="page" w:x="2626" w:y="6209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 xml:space="preserve">Medium </w:t>
      </w:r>
    </w:p>
    <w:p>
      <w:pPr>
        <w:pStyle w:val="Normal"/>
        <w:framePr w:w="8065" w:hAnchor="page" w:vAnchor="page" w:x="3430" w:y="6209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 xml:space="preserve">Key issue to be clarified and/or fully considered in relation to the proposed property transaction or repairs having a significant cost implication. </w:t>
      </w:r>
    </w:p>
    <w:p>
      <w:pPr>
        <w:pStyle w:val="Normal"/>
        <w:framePr w:w="428" w:hAnchor="page" w:vAnchor="page" w:x="2626" w:y="6041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  <w:t xml:space="preserve">High </w:t>
      </w:r>
    </w:p>
    <w:p>
      <w:pPr>
        <w:pStyle w:val="Normal"/>
        <w:framePr w:w="7593" w:hAnchor="page" w:vAnchor="page" w:x="3430" w:y="6041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>Significant issue where an urgent remedy is required prior to the proposed property transaction or a serious defect requiring attention.</w:t>
      </w:r>
    </w:p>
    <w:p>
      <w:pPr>
        <w:pStyle w:val="Normal"/>
        <w:framePr w:w="1032" w:hAnchor="page" w:vAnchor="page" w:x="1822" w:y="5873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>Risk Rating Key</w:t>
      </w:r>
    </w:p>
    <w:p>
      <w:pPr>
        <w:pStyle w:val="Normal"/>
        <w:framePr w:w="553" w:hAnchor="page" w:vAnchor="page" w:x="5842" w:y="5038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6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6"/>
          <w:sz w:val="12"/>
          <w:szCs w:val="12"/>
        </w:rPr>
        <w:t>TOTAL</w:t>
      </w:r>
    </w:p>
    <w:p>
      <w:pPr>
        <w:pStyle w:val="Normal"/>
        <w:framePr w:w="5832" w:hAnchor="page" w:vAnchor="page" w:x="9826" w:y="5041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100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100"/>
          <w:sz w:val="12"/>
          <w:szCs w:val="12"/>
        </w:rPr>
        <w:t xml:space="preserve"> €       168 245   </w:t>
      </w:r>
      <w:r>
        <w:rPr>
          <w:rFonts w:ascii="LDEEPM+ArialMT" w:hAnsi="LDEEPM+ArialMT" w:fareast="LDEEPM+ArialMT" w:cs="LDEEPM+ArialMT"/>
          <w:color w:val="002144"/>
          <w:w w:val="100"/>
          <w:sz w:val="12"/>
          <w:szCs w:val="12"/>
        </w:rPr>
        <w:t xml:space="preserve"> €                     -    €           88 550    €           69 575    €                     -    €        168 245 </w:t>
      </w:r>
    </w:p>
    <w:p>
      <w:pPr>
        <w:pStyle w:val="Normal"/>
        <w:framePr w:w="2126" w:hAnchor="page" w:vAnchor="page" w:x="5842" w:y="4714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6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6"/>
          <w:sz w:val="12"/>
          <w:szCs w:val="12"/>
        </w:rPr>
        <w:t xml:space="preserve">Contingency and Fees Sub Total </w:t>
      </w:r>
    </w:p>
    <w:p>
      <w:pPr>
        <w:pStyle w:val="Normal"/>
        <w:framePr w:w="5830" w:hAnchor="page" w:vAnchor="page" w:x="9826" w:y="470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100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100"/>
          <w:sz w:val="12"/>
          <w:szCs w:val="12"/>
        </w:rPr>
        <w:t xml:space="preserve"> €          35 245  </w:t>
      </w:r>
      <w:r>
        <w:rPr>
          <w:rFonts w:ascii="LDEEPM+ArialMT" w:hAnsi="LDEEPM+ArialMT" w:fareast="LDEEPM+ArialMT" w:cs="LDEEPM+ArialMT"/>
          <w:color w:val="002144"/>
          <w:w w:val="100"/>
          <w:sz w:val="12"/>
          <w:szCs w:val="12"/>
        </w:rPr>
        <w:t xml:space="preserve"> €                     -    €           18 550    €           14 575    €                     -    €          35 245 </w:t>
      </w:r>
    </w:p>
    <w:p>
      <w:pPr>
        <w:pStyle w:val="Normal"/>
        <w:framePr w:w="859" w:hAnchor="page" w:vAnchor="page" w:x="5842" w:y="4546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Fees at 15%</w:t>
      </w:r>
    </w:p>
    <w:p>
      <w:pPr>
        <w:pStyle w:val="Normal"/>
        <w:framePr w:w="5830" w:hAnchor="page" w:vAnchor="page" w:x="9826" w:y="453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100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100"/>
          <w:sz w:val="12"/>
          <w:szCs w:val="12"/>
        </w:rPr>
        <w:t xml:space="preserve"> €          21 945  </w:t>
      </w:r>
      <w:r>
        <w:rPr>
          <w:rFonts w:ascii="LDEEPM+ArialMT" w:hAnsi="LDEEPM+ArialMT" w:fareast="LDEEPM+ArialMT" w:cs="LDEEPM+ArialMT"/>
          <w:color w:val="002144"/>
          <w:w w:val="100"/>
          <w:sz w:val="12"/>
          <w:szCs w:val="12"/>
        </w:rPr>
        <w:t xml:space="preserve"> €                     -    €           11 550    €             9 075    €                     -    €          21 945 </w:t>
      </w:r>
    </w:p>
    <w:p>
      <w:pPr>
        <w:pStyle w:val="Normal"/>
        <w:framePr w:w="1631" w:hAnchor="page" w:vAnchor="page" w:x="5842" w:y="4378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6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6"/>
          <w:sz w:val="12"/>
          <w:szCs w:val="12"/>
        </w:rPr>
        <w:t>Contingency sum at 10%</w:t>
      </w:r>
    </w:p>
    <w:p>
      <w:pPr>
        <w:pStyle w:val="Normal"/>
        <w:framePr w:w="5830" w:hAnchor="page" w:vAnchor="page" w:x="9826" w:y="4369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100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100"/>
          <w:sz w:val="12"/>
          <w:szCs w:val="12"/>
        </w:rPr>
        <w:t xml:space="preserve"> €          13 300  </w:t>
      </w:r>
      <w:r>
        <w:rPr>
          <w:rFonts w:ascii="LDEEPM+ArialMT" w:hAnsi="LDEEPM+ArialMT" w:fareast="LDEEPM+ArialMT" w:cs="LDEEPM+ArialMT"/>
          <w:color w:val="002144"/>
          <w:w w:val="100"/>
          <w:sz w:val="12"/>
          <w:szCs w:val="12"/>
        </w:rPr>
        <w:t xml:space="preserve"> €                     -    €             7 000    €             5 500    €                     -    €          13 300 </w:t>
      </w:r>
    </w:p>
    <w:p>
      <w:pPr>
        <w:pStyle w:val="Normal"/>
        <w:framePr w:w="1344" w:hAnchor="page" w:vAnchor="page" w:x="5842" w:y="4042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Sub-total (all works)</w:t>
      </w:r>
    </w:p>
    <w:p>
      <w:pPr>
        <w:pStyle w:val="Normal"/>
        <w:framePr w:w="5832" w:hAnchor="page" w:vAnchor="page" w:x="9826" w:y="4033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100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100"/>
          <w:sz w:val="12"/>
          <w:szCs w:val="12"/>
        </w:rPr>
        <w:t xml:space="preserve"> €       133 000   </w:t>
      </w:r>
      <w:r>
        <w:rPr>
          <w:rFonts w:ascii="LDEEPM+ArialMT" w:hAnsi="LDEEPM+ArialMT" w:fareast="LDEEPM+ArialMT" w:cs="LDEEPM+ArialMT"/>
          <w:color w:val="002144"/>
          <w:w w:val="100"/>
          <w:sz w:val="12"/>
          <w:szCs w:val="12"/>
        </w:rPr>
        <w:t xml:space="preserve"> €                     -    €           70 000    €           55 000    €                     -    €        133 000 </w:t>
      </w:r>
    </w:p>
    <w:p>
      <w:pPr>
        <w:pStyle w:val="Normal"/>
        <w:framePr w:w="1480" w:hAnchor="page" w:vAnchor="page" w:x="1255" w:y="380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ffff"/>
          <w:w w:val="96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ffffff"/>
          <w:w w:val="96"/>
          <w:sz w:val="12"/>
          <w:szCs w:val="12"/>
        </w:rPr>
        <w:t>Contingency and Fees</w:t>
      </w:r>
    </w:p>
    <w:p>
      <w:pPr>
        <w:pStyle w:val="Normal"/>
        <w:framePr w:w="202" w:hAnchor="page" w:vAnchor="page" w:x="1489" w:y="3409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  <w:t>1</w:t>
      </w:r>
    </w:p>
    <w:p>
      <w:pPr>
        <w:pStyle w:val="Normal"/>
        <w:framePr w:w="1249" w:hAnchor="page" w:vAnchor="page" w:x="1822" w:y="3404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>No defect identified.</w:t>
      </w:r>
    </w:p>
    <w:p>
      <w:pPr>
        <w:pStyle w:val="Normal"/>
        <w:framePr w:w="3023" w:hAnchor="page" w:vAnchor="page" w:x="5842" w:y="3404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>No capex allowance required for the next ten years.</w:t>
      </w:r>
    </w:p>
    <w:p>
      <w:pPr>
        <w:pStyle w:val="Normal"/>
        <w:framePr w:w="1002" w:hAnchor="page" w:vAnchor="page" w:x="9826" w:y="3404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  <w:t xml:space="preserve"> €                    - </w:t>
      </w:r>
    </w:p>
    <w:p>
      <w:pPr>
        <w:pStyle w:val="Normal"/>
        <w:framePr w:w="1976" w:hAnchor="page" w:vAnchor="page" w:x="13325" w:y="3404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  <w:t xml:space="preserve"> €                     -    €                    - </w:t>
      </w:r>
    </w:p>
    <w:p>
      <w:pPr>
        <w:pStyle w:val="Normal"/>
        <w:framePr w:w="2269" w:hAnchor="page" w:vAnchor="page" w:x="1255" w:y="324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6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6"/>
          <w:sz w:val="12"/>
          <w:szCs w:val="12"/>
        </w:rPr>
        <w:t xml:space="preserve">C.1. Environmental Considerations </w:t>
      </w:r>
    </w:p>
    <w:p>
      <w:pPr>
        <w:pStyle w:val="Normal"/>
        <w:framePr w:w="679" w:hAnchor="page" w:vAnchor="page" w:x="8830" w:y="324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6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6"/>
          <w:sz w:val="12"/>
          <w:szCs w:val="12"/>
        </w:rPr>
        <w:t>Sub-total</w:t>
      </w:r>
    </w:p>
    <w:p>
      <w:pPr>
        <w:pStyle w:val="Normal"/>
        <w:framePr w:w="202" w:hAnchor="page" w:vAnchor="page" w:x="9864" w:y="324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0539" w:y="324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0707" w:y="324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1424" w:y="324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1592" w:y="324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2310" w:y="324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2478" w:y="324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3196" w:y="324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3364" w:y="324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4081" w:y="324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4249" w:y="324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4941" w:y="324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752" w:hAnchor="page" w:vAnchor="page" w:x="1255" w:y="3020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ffff"/>
          <w:w w:val="96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ffffff"/>
          <w:w w:val="96"/>
          <w:sz w:val="12"/>
          <w:szCs w:val="12"/>
        </w:rPr>
        <w:t xml:space="preserve">C. Environmental and ICPE Considerations </w:t>
      </w:r>
    </w:p>
    <w:p>
      <w:pPr>
        <w:pStyle w:val="Normal"/>
        <w:framePr w:w="202" w:hAnchor="page" w:vAnchor="page" w:x="1489" w:y="2624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  <w:t>1</w:t>
      </w:r>
    </w:p>
    <w:p>
      <w:pPr>
        <w:pStyle w:val="Normal"/>
        <w:framePr w:w="1249" w:hAnchor="page" w:vAnchor="page" w:x="1822" w:y="2619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>No defect identified.</w:t>
      </w:r>
    </w:p>
    <w:p>
      <w:pPr>
        <w:pStyle w:val="Normal"/>
        <w:framePr w:w="3023" w:hAnchor="page" w:vAnchor="page" w:x="5842" w:y="2619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>No capex allowance required for the next ten years.</w:t>
      </w:r>
    </w:p>
    <w:p>
      <w:pPr>
        <w:pStyle w:val="Normal"/>
        <w:framePr w:w="1002" w:hAnchor="page" w:vAnchor="page" w:x="9826" w:y="2619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  <w:t xml:space="preserve"> €                    - </w:t>
      </w:r>
    </w:p>
    <w:p>
      <w:pPr>
        <w:pStyle w:val="Normal"/>
        <w:framePr w:w="1036" w:hAnchor="page" w:vAnchor="page" w:x="11554" w:y="2619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  <w:t xml:space="preserve"> €                     - </w:t>
      </w:r>
    </w:p>
    <w:p>
      <w:pPr>
        <w:pStyle w:val="Normal"/>
        <w:framePr w:w="1976" w:hAnchor="page" w:vAnchor="page" w:x="13325" w:y="2619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  <w:t xml:space="preserve"> €                     -    €                    - </w:t>
      </w:r>
    </w:p>
    <w:p>
      <w:pPr>
        <w:pStyle w:val="Normal"/>
        <w:framePr w:w="735" w:hAnchor="page" w:vAnchor="page" w:x="1255" w:y="2461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6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6"/>
          <w:sz w:val="12"/>
          <w:szCs w:val="12"/>
        </w:rPr>
        <w:t xml:space="preserve"> B.6. Lifts </w:t>
      </w:r>
    </w:p>
    <w:p>
      <w:pPr>
        <w:pStyle w:val="Normal"/>
        <w:framePr w:w="679" w:hAnchor="page" w:vAnchor="page" w:x="8830" w:y="2461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6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6"/>
          <w:sz w:val="12"/>
          <w:szCs w:val="12"/>
        </w:rPr>
        <w:t>Sub-total</w:t>
      </w:r>
    </w:p>
    <w:p>
      <w:pPr>
        <w:pStyle w:val="Normal"/>
        <w:framePr w:w="202" w:hAnchor="page" w:vAnchor="page" w:x="9864" w:y="2461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0539" w:y="2461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0707" w:y="2461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1424" w:y="2461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1592" w:y="2461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2310" w:y="2461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2478" w:y="2461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3196" w:y="2461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3364" w:y="2461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4081" w:y="2461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4249" w:y="2461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4941" w:y="2461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489" w:y="2120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  <w:t>1</w:t>
      </w:r>
    </w:p>
    <w:p>
      <w:pPr>
        <w:pStyle w:val="Normal"/>
        <w:framePr w:w="1249" w:hAnchor="page" w:vAnchor="page" w:x="1822" w:y="211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>No defect identified.</w:t>
      </w:r>
    </w:p>
    <w:p>
      <w:pPr>
        <w:pStyle w:val="Normal"/>
        <w:framePr w:w="3023" w:hAnchor="page" w:vAnchor="page" w:x="5842" w:y="211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>No capex allowance required for the next ten years.</w:t>
      </w:r>
    </w:p>
    <w:p>
      <w:pPr>
        <w:pStyle w:val="Normal"/>
        <w:framePr w:w="1002" w:hAnchor="page" w:vAnchor="page" w:x="9826" w:y="211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  <w:t xml:space="preserve"> €                    - </w:t>
      </w:r>
    </w:p>
    <w:p>
      <w:pPr>
        <w:pStyle w:val="Normal"/>
        <w:framePr w:w="1976" w:hAnchor="page" w:vAnchor="page" w:x="13325" w:y="2115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  <w:t xml:space="preserve"> €                     -    €                    - </w:t>
      </w:r>
    </w:p>
    <w:p>
      <w:pPr>
        <w:pStyle w:val="Normal"/>
        <w:framePr w:w="1828" w:hAnchor="page" w:vAnchor="page" w:x="1255" w:y="195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6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6"/>
          <w:sz w:val="12"/>
          <w:szCs w:val="12"/>
        </w:rPr>
        <w:t xml:space="preserve"> B.5. Public Health Systems </w:t>
      </w:r>
    </w:p>
    <w:p>
      <w:pPr>
        <w:pStyle w:val="Normal"/>
        <w:framePr w:w="679" w:hAnchor="page" w:vAnchor="page" w:x="8830" w:y="195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6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6"/>
          <w:sz w:val="12"/>
          <w:szCs w:val="12"/>
        </w:rPr>
        <w:t>Sub-total</w:t>
      </w:r>
    </w:p>
    <w:p>
      <w:pPr>
        <w:pStyle w:val="Normal"/>
        <w:framePr w:w="202" w:hAnchor="page" w:vAnchor="page" w:x="9864" w:y="195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0539" w:y="195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0707" w:y="195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1424" w:y="195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1592" w:y="195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2310" w:y="195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2478" w:y="195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3196" w:y="195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3364" w:y="195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4081" w:y="195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4249" w:y="195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4941" w:y="1957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488" w:y="1616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7"/>
          <w:sz w:val="12"/>
          <w:szCs w:val="12"/>
        </w:rPr>
        <w:t>1</w:t>
      </w:r>
    </w:p>
    <w:p>
      <w:pPr>
        <w:pStyle w:val="Normal"/>
        <w:framePr w:w="1249" w:hAnchor="page" w:vAnchor="page" w:x="1822" w:y="1611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>No defect identified.</w:t>
      </w:r>
    </w:p>
    <w:p>
      <w:pPr>
        <w:pStyle w:val="Normal"/>
        <w:framePr w:w="3023" w:hAnchor="page" w:vAnchor="page" w:x="5842" w:y="1611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6"/>
          <w:sz w:val="12"/>
          <w:szCs w:val="12"/>
        </w:rPr>
        <w:t>No capex allowance required for the next ten years.</w:t>
      </w:r>
    </w:p>
    <w:p>
      <w:pPr>
        <w:pStyle w:val="Normal"/>
        <w:framePr w:w="1002" w:hAnchor="page" w:vAnchor="page" w:x="9826" w:y="1611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  <w:t xml:space="preserve"> €                    - </w:t>
      </w:r>
    </w:p>
    <w:p>
      <w:pPr>
        <w:pStyle w:val="Normal"/>
        <w:framePr w:w="1976" w:hAnchor="page" w:vAnchor="page" w:x="13325" w:y="1611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</w:pPr>
      <w:r>
        <w:rPr>
          <w:rFonts w:ascii="LDEEPM+ArialMT" w:hAnsi="LDEEPM+ArialMT" w:fareast="LDEEPM+ArialMT" w:cs="LDEEPM+ArialMT"/>
          <w:color w:val="002144"/>
          <w:w w:val="95"/>
          <w:sz w:val="12"/>
          <w:szCs w:val="12"/>
        </w:rPr>
        <w:t xml:space="preserve"> €                     -    €                    - </w:t>
      </w:r>
    </w:p>
    <w:p>
      <w:pPr>
        <w:pStyle w:val="Normal"/>
        <w:framePr w:w="1920" w:hAnchor="page" w:vAnchor="page" w:x="1255" w:y="1453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 xml:space="preserve"> B.4. Fire Protection Systems </w:t>
      </w:r>
    </w:p>
    <w:p>
      <w:pPr>
        <w:pStyle w:val="Normal"/>
        <w:framePr w:w="679" w:hAnchor="page" w:vAnchor="page" w:x="8830" w:y="1453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6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6"/>
          <w:sz w:val="12"/>
          <w:szCs w:val="12"/>
        </w:rPr>
        <w:t>Sub-total</w:t>
      </w:r>
    </w:p>
    <w:p>
      <w:pPr>
        <w:pStyle w:val="Normal"/>
        <w:framePr w:w="202" w:hAnchor="page" w:vAnchor="page" w:x="9864" w:y="1453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0539" w:y="1453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0707" w:y="1453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1424" w:y="1453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1592" w:y="1453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2310" w:y="1453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2478" w:y="1453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3195" w:y="1453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3363" w:y="1453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4081" w:y="1453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202" w:hAnchor="page" w:vAnchor="page" w:x="14249" w:y="1453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€</w:t>
      </w:r>
    </w:p>
    <w:p>
      <w:pPr>
        <w:pStyle w:val="Normal"/>
        <w:framePr w:w="174" w:hAnchor="page" w:vAnchor="page" w:x="14940" w:y="1453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</w:pPr>
      <w:r>
        <w:rPr>
          <w:rFonts w:ascii="OXPWFG+Arial-BoldMT" w:hAnsi="OXPWFG+Arial-BoldMT" w:fareast="OXPWFG+Arial-BoldMT" w:cs="OXPWFG+Arial-BoldMT"/>
          <w:color w:val="002144"/>
          <w:w w:val="97"/>
          <w:sz w:val="12"/>
          <w:szCs w:val="12"/>
        </w:rPr>
        <w:t>-</w:t>
      </w:r>
    </w:p>
    <w:p>
      <w:pPr>
        <w:pStyle w:val="Normal"/>
        <w:framePr w:w="9710" w:hAnchor="page" w:vAnchor="page" w:x="4123" w:y="309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100"/>
          <w:sz w:val="24"/>
          <w:szCs w:val="24"/>
        </w:rPr>
      </w:pPr>
      <w:r>
        <w:rPr>
          <w:rFonts w:ascii="OXPWFG+Arial-BoldMT" w:hAnsi="OXPWFG+Arial-BoldMT" w:fareast="OXPWFG+Arial-BoldMT" w:cs="OXPWFG+Arial-BoldMT"/>
          <w:color w:val="002144"/>
          <w:w w:val="100"/>
          <w:sz w:val="24"/>
          <w:szCs w:val="24"/>
        </w:rPr>
        <w:t>SAVILLS TECHNICAL DUE DILIGENCE RED FLAG AND CAPEX APPRAISAL</w:t>
      </w:r>
    </w:p>
    <w:p>
      <w:pPr>
        <w:pStyle w:val="Normal"/>
        <w:framePr w:w="7434" w:hAnchor="page" w:vAnchor="page" w:x="400" w:y="219"/>
        <w:widowControl w:val="off"/>
        <w:autoSpaceDE w:val="off"/>
        <w:autoSpaceDN w:val="off"/>
        <w:spacing w:before="0" w:after="0" w:line="223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  <w:r>
        <w:rPr>
          <w:rFonts w:ascii="Arial" w:hAnsi="Arial" w:fareast="Arial" w:cs="Arial"/>
          <w:color w:val="ff0000"/>
          <w:w w:val="100"/>
          <w:sz w:val="20"/>
          <w:szCs w:val="20"/>
        </w:rPr>
        <w:t>Evaluation Warning : The document was created with Spire.PDF for .NET.</w:t>
      </w:r>
    </w:p>
    <w:p>
      <w:pPr>
        <w:pStyle w:val="Normal"/>
        <w:autoSpaceDE w:val="off"/>
        <w:autoSpaceDN w:val="off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noProof w:val="on"/>
          <w:color w:val="000000"/>
          <w:sz w:val="14"/>
          <w:szCs w:val="14"/>
        </w:rPr>
        <w:sectPr>
          <w:pgSz w:w="16820" w:h="11900"/>
          <w:pgMar w:top="400" w:right="400" w:bottom="400" w:left="400" w:header="720" w:footer="720"/>
          <w:pgNumType w:start="6"/>
          <w:cols w:space="720" w:sep="off"/>
          <w:docGrid w:line-pitch="31680"/>
        </w:sectPr>
      </w:pP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8" style="position:absolute;margin-left:740.05pt;margin-top:14pt;z-index:-16777020;width:45pt;height:41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9" style="position:absolute;margin-left:59.95pt;margin-top:69.6pt;z-index:-16777016;width:720.8pt;height:190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0" style="position:absolute;margin-left:59.95pt;margin-top:265.7pt;z-index:-16777012;width:720.8pt;height:19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1" style="position:absolute;margin-left:88.75pt;margin-top:299.8pt;z-index:-16777008;width:42.3pt;height:2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2" o:title=""/>
          </v:shape>
        </w:pict>
      </w:r>
    </w:p>
    <w:p>
      <w:pPr>
        <w:pStyle w:val="Normal"/>
        <w:autoSpaceDE w:val="off"/>
        <w:autoSpaceDN w:val="off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</w:p>
    <w:p>
      <w:pPr>
        <w:pStyle w:val="Normal"/>
        <w:framePr w:w="1110" w:hAnchor="page" w:vAnchor="page" w:x="1152" w:y="11083"/>
        <w:widowControl w:val="off"/>
        <w:autoSpaceDE w:val="off"/>
        <w:autoSpaceDN w:val="off"/>
        <w:spacing w:before="0" w:after="0" w:line="208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0000"/>
          <w:w w:val="100"/>
          <w:sz w:val="20"/>
          <w:szCs w:val="20"/>
        </w:rPr>
      </w:pPr>
      <w:r>
        <w:rPr>
          <w:rFonts w:ascii="OXPWFG+Arial-BoldMT" w:hAnsi="OXPWFG+Arial-BoldMT" w:fareast="OXPWFG+Arial-BoldMT" w:cs="OXPWFG+Arial-BoldMT"/>
          <w:color w:val="ff0000"/>
          <w:w w:val="100"/>
          <w:sz w:val="20"/>
          <w:szCs w:val="20"/>
        </w:rPr>
        <w:t>savills.fr</w:t>
      </w:r>
    </w:p>
    <w:p>
      <w:pPr>
        <w:pStyle w:val="Normal"/>
        <w:framePr w:w="1313" w:hAnchor="page" w:vAnchor="page" w:x="14688" w:y="11083"/>
        <w:widowControl w:val="off"/>
        <w:autoSpaceDE w:val="off"/>
        <w:autoSpaceDN w:val="off"/>
        <w:spacing w:before="0" w:after="0" w:line="208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0000"/>
          <w:w w:val="100"/>
          <w:sz w:val="20"/>
          <w:szCs w:val="20"/>
        </w:rPr>
      </w:pPr>
      <w:r>
        <w:rPr>
          <w:rFonts w:ascii="OXPWFG+Arial-BoldMT" w:hAnsi="OXPWFG+Arial-BoldMT" w:fareast="OXPWFG+Arial-BoldMT" w:cs="OXPWFG+Arial-BoldMT"/>
          <w:color w:val="ff0000"/>
          <w:w w:val="100"/>
          <w:sz w:val="20"/>
          <w:szCs w:val="20"/>
        </w:rPr>
        <w:t>01/12/2023</w:t>
      </w:r>
    </w:p>
    <w:p>
      <w:pPr>
        <w:pStyle w:val="Normal"/>
        <w:framePr w:w="635" w:hAnchor="page" w:vAnchor="page" w:x="6244" w:y="1521"/>
        <w:widowControl w:val="off"/>
        <w:autoSpaceDE w:val="off"/>
        <w:autoSpaceDN w:val="off"/>
        <w:spacing w:before="0" w:after="0" w:line="115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ffff"/>
          <w:w w:val="100"/>
          <w:sz w:val="11"/>
          <w:szCs w:val="11"/>
        </w:rPr>
      </w:pPr>
      <w:r>
        <w:rPr>
          <w:rFonts w:ascii="OXPWFG+Arial-BoldMT" w:hAnsi="OXPWFG+Arial-BoldMT" w:fareast="OXPWFG+Arial-BoldMT" w:cs="OXPWFG+Arial-BoldMT"/>
          <w:color w:val="ffffff"/>
          <w:w w:val="100"/>
          <w:sz w:val="11"/>
          <w:szCs w:val="11"/>
        </w:rPr>
        <w:t>PHOTOS</w:t>
      </w:r>
    </w:p>
    <w:p>
      <w:pPr>
        <w:pStyle w:val="Normal"/>
        <w:framePr w:w="9710" w:hAnchor="page" w:vAnchor="page" w:x="4123" w:y="309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100"/>
          <w:sz w:val="24"/>
          <w:szCs w:val="24"/>
        </w:rPr>
      </w:pPr>
      <w:r>
        <w:rPr>
          <w:rFonts w:ascii="OXPWFG+Arial-BoldMT" w:hAnsi="OXPWFG+Arial-BoldMT" w:fareast="OXPWFG+Arial-BoldMT" w:cs="OXPWFG+Arial-BoldMT"/>
          <w:color w:val="002144"/>
          <w:w w:val="100"/>
          <w:sz w:val="24"/>
          <w:szCs w:val="24"/>
        </w:rPr>
        <w:t>SAVILLS TECHNICAL DUE DILIGENCE RED FLAG AND CAPEX APPRAISAL</w:t>
      </w:r>
    </w:p>
    <w:p>
      <w:pPr>
        <w:pStyle w:val="Normal"/>
        <w:framePr w:w="7434" w:hAnchor="page" w:vAnchor="page" w:x="400" w:y="219"/>
        <w:widowControl w:val="off"/>
        <w:autoSpaceDE w:val="off"/>
        <w:autoSpaceDN w:val="off"/>
        <w:spacing w:before="0" w:after="0" w:line="223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  <w:r>
        <w:rPr>
          <w:rFonts w:ascii="Arial" w:hAnsi="Arial" w:fareast="Arial" w:cs="Arial"/>
          <w:color w:val="ff0000"/>
          <w:w w:val="100"/>
          <w:sz w:val="20"/>
          <w:szCs w:val="20"/>
        </w:rPr>
        <w:t>Evaluation Warning : The document was created with Spire.PDF for .NET.</w:t>
      </w:r>
    </w:p>
    <w:p>
      <w:pPr>
        <w:pStyle w:val="Normal"/>
        <w:autoSpaceDE w:val="off"/>
        <w:autoSpaceDN w:val="off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noProof w:val="on"/>
          <w:color w:val="000000"/>
          <w:sz w:val="14"/>
          <w:szCs w:val="14"/>
        </w:rPr>
        <w:sectPr>
          <w:pgSz w:w="16820" w:h="11900"/>
          <w:pgMar w:top="400" w:right="400" w:bottom="400" w:left="400" w:header="720" w:footer="720"/>
          <w:pgNumType w:start="7"/>
          <w:cols w:space="720" w:sep="off"/>
          <w:docGrid w:line-pitch="31680"/>
        </w:sectPr>
      </w:pP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2" style="position:absolute;margin-left:740.05pt;margin-top:14pt;z-index:-16777004;width:45pt;height:41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3" style="position:absolute;margin-left:57.95pt;margin-top:69.6pt;z-index:-16777000;width:724.4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4" style="position:absolute;margin-left:57.95pt;margin-top:447.5pt;z-index:-16776996;width:724.4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5" style="position:absolute;margin-left:59pt;margin-top:87pt;z-index:-16776992;width:218.4pt;height:152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6" style="position:absolute;margin-left:300pt;margin-top:87pt;z-index:-16776988;width:218pt;height:152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7" style="position:absolute;margin-left:541pt;margin-top:87pt;z-index:-16776984;width:217.6pt;height:152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8" style="position:absolute;margin-left:59pt;margin-top:256pt;z-index:-16776980;width:219.15pt;height:152.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9" style="position:absolute;margin-left:300pt;margin-top:256pt;z-index:-16776976;width:218pt;height:152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0" style="position:absolute;margin-left:541pt;margin-top:256pt;z-index:-16776972;width:219.05pt;height:153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1" o:title=""/>
          </v:shape>
        </w:pict>
      </w:r>
    </w:p>
    <w:p>
      <w:pPr>
        <w:pStyle w:val="Normal"/>
        <w:autoSpaceDE w:val="off"/>
        <w:autoSpaceDN w:val="off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</w:p>
    <w:p>
      <w:pPr>
        <w:pStyle w:val="Normal"/>
        <w:framePr w:w="1110" w:hAnchor="page" w:vAnchor="page" w:x="1152" w:y="11083"/>
        <w:widowControl w:val="off"/>
        <w:autoSpaceDE w:val="off"/>
        <w:autoSpaceDN w:val="off"/>
        <w:spacing w:before="0" w:after="0" w:line="208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ff0000"/>
          <w:w w:val="100"/>
          <w:sz w:val="20"/>
          <w:szCs w:val="20"/>
        </w:rPr>
      </w:pPr>
      <w:r>
        <w:rPr>
          <w:rFonts w:ascii="OXPWFG+Arial-BoldMT" w:hAnsi="OXPWFG+Arial-BoldMT" w:fareast="OXPWFG+Arial-BoldMT" w:cs="OXPWFG+Arial-BoldMT"/>
          <w:color w:val="ff0000"/>
          <w:w w:val="100"/>
          <w:sz w:val="20"/>
          <w:szCs w:val="20"/>
        </w:rPr>
        <w:t>savills.fr</w:t>
      </w:r>
    </w:p>
    <w:p>
      <w:pPr>
        <w:pStyle w:val="Normal"/>
        <w:framePr w:w="1173" w:hAnchor="page" w:vAnchor="page" w:x="4860" w:y="3731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562c1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562c1"/>
          <w:w w:val="100"/>
          <w:sz w:val="10"/>
          <w:szCs w:val="10"/>
        </w:rPr>
        <w:t>ghough@savills.com</w:t>
      </w:r>
    </w:p>
    <w:p>
      <w:pPr>
        <w:pStyle w:val="Normal"/>
        <w:framePr w:w="1346" w:hAnchor="page" w:vAnchor="page" w:x="10217" w:y="3731"/>
        <w:widowControl w:val="off"/>
        <w:autoSpaceDE w:val="off"/>
        <w:autoSpaceDN w:val="off"/>
        <w:spacing w:before="0" w:after="0" w:line="108" w:lineRule="exact"/>
        <w:ind w:left="0" w:right="0" w:first-line="0"/>
        <w:jc w:val="left"/>
        <w:rPr>
          <w:rFonts w:ascii="LDEEPM+ArialMT" w:hAnsi="LDEEPM+ArialMT" w:fareast="LDEEPM+ArialMT" w:cs="LDEEPM+ArialMT"/>
          <w:color w:val="0562c1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0562c1"/>
          <w:w w:val="100"/>
          <w:sz w:val="10"/>
          <w:szCs w:val="10"/>
        </w:rPr>
        <w:t>aurelie.hubert@savills.fr</w:t>
      </w:r>
    </w:p>
    <w:p>
      <w:pPr>
        <w:pStyle w:val="Normal"/>
        <w:framePr w:w="1472" w:hAnchor="page" w:vAnchor="page" w:x="4863" w:y="3575"/>
        <w:widowControl w:val="off"/>
        <w:autoSpaceDE w:val="off"/>
        <w:autoSpaceDN w:val="off"/>
        <w:spacing w:before="0" w:after="0" w:line="128" w:lineRule="exact"/>
        <w:ind w:left="0" w:right="0" w:first-line="0"/>
        <w:jc w:val="left"/>
        <w:rPr>
          <w:rFonts w:ascii="LDEEPM+ArialMT" w:hAnsi="LDEEPM+ArialMT" w:fareast="LDEEPM+ArialMT" w:cs="LDEEPM+ArialMT"/>
          <w:color w:val="ffffff"/>
          <w:w w:val="100"/>
          <w:sz w:val="12"/>
          <w:szCs w:val="12"/>
        </w:rPr>
      </w:pPr>
      <w:r>
        <w:rPr>
          <w:rFonts w:ascii="LDEEPM+ArialMT" w:hAnsi="LDEEPM+ArialMT" w:fareast="LDEEPM+ArialMT" w:cs="LDEEPM+ArialMT"/>
          <w:color w:val="ffffff"/>
          <w:w w:val="100"/>
          <w:sz w:val="12"/>
          <w:szCs w:val="12"/>
        </w:rPr>
        <w:t>M:   +33 6 03 49 03 59</w:t>
      </w:r>
    </w:p>
    <w:p>
      <w:pPr>
        <w:pStyle w:val="Normal"/>
        <w:framePr w:w="1398" w:hAnchor="page" w:vAnchor="page" w:x="10220" w:y="3575"/>
        <w:widowControl w:val="off"/>
        <w:autoSpaceDE w:val="off"/>
        <w:autoSpaceDN w:val="off"/>
        <w:spacing w:before="0" w:after="0" w:line="128" w:lineRule="exact"/>
        <w:ind w:left="0" w:right="0" w:first-line="0"/>
        <w:jc w:val="left"/>
        <w:rPr>
          <w:rFonts w:ascii="LDEEPM+ArialMT" w:hAnsi="LDEEPM+ArialMT" w:fareast="LDEEPM+ArialMT" w:cs="LDEEPM+ArialMT"/>
          <w:color w:val="ffffff"/>
          <w:w w:val="100"/>
          <w:sz w:val="12"/>
          <w:szCs w:val="12"/>
        </w:rPr>
      </w:pPr>
      <w:r>
        <w:rPr>
          <w:rFonts w:ascii="LDEEPM+ArialMT" w:hAnsi="LDEEPM+ArialMT" w:fareast="LDEEPM+ArialMT" w:cs="LDEEPM+ArialMT"/>
          <w:color w:val="ffffff"/>
          <w:w w:val="100"/>
          <w:sz w:val="12"/>
          <w:szCs w:val="12"/>
        </w:rPr>
        <w:t>M: +33 6 29 49 56 04</w:t>
      </w:r>
    </w:p>
    <w:p>
      <w:pPr>
        <w:pStyle w:val="Normal"/>
        <w:framePr w:w="1456" w:hAnchor="page" w:vAnchor="page" w:x="4863" w:y="3427"/>
        <w:widowControl w:val="off"/>
        <w:autoSpaceDE w:val="off"/>
        <w:autoSpaceDN w:val="off"/>
        <w:spacing w:before="0" w:after="0" w:line="128" w:lineRule="exact"/>
        <w:ind w:left="0" w:right="0" w:first-line="0"/>
        <w:jc w:val="left"/>
        <w:rPr>
          <w:rFonts w:ascii="LDEEPM+ArialMT" w:hAnsi="LDEEPM+ArialMT" w:fareast="LDEEPM+ArialMT" w:cs="LDEEPM+ArialMT"/>
          <w:color w:val="ffffff"/>
          <w:w w:val="100"/>
          <w:sz w:val="12"/>
          <w:szCs w:val="12"/>
        </w:rPr>
      </w:pPr>
      <w:r>
        <w:rPr>
          <w:rFonts w:ascii="LDEEPM+ArialMT" w:hAnsi="LDEEPM+ArialMT" w:fareast="LDEEPM+ArialMT" w:cs="LDEEPM+ArialMT"/>
          <w:color w:val="ffffff"/>
          <w:w w:val="100"/>
          <w:sz w:val="12"/>
          <w:szCs w:val="12"/>
        </w:rPr>
        <w:t>LD: +33 1 86 69 39 23</w:t>
      </w:r>
    </w:p>
    <w:p>
      <w:pPr>
        <w:pStyle w:val="Normal"/>
        <w:framePr w:w="1456" w:hAnchor="page" w:vAnchor="page" w:x="10220" w:y="3427"/>
        <w:widowControl w:val="off"/>
        <w:autoSpaceDE w:val="off"/>
        <w:autoSpaceDN w:val="off"/>
        <w:spacing w:before="0" w:after="0" w:line="128" w:lineRule="exact"/>
        <w:ind w:left="0" w:right="0" w:first-line="0"/>
        <w:jc w:val="left"/>
        <w:rPr>
          <w:rFonts w:ascii="LDEEPM+ArialMT" w:hAnsi="LDEEPM+ArialMT" w:fareast="LDEEPM+ArialMT" w:cs="LDEEPM+ArialMT"/>
          <w:color w:val="ffffff"/>
          <w:w w:val="100"/>
          <w:sz w:val="12"/>
          <w:szCs w:val="12"/>
        </w:rPr>
      </w:pPr>
      <w:r>
        <w:rPr>
          <w:rFonts w:ascii="LDEEPM+ArialMT" w:hAnsi="LDEEPM+ArialMT" w:fareast="LDEEPM+ArialMT" w:cs="LDEEPM+ArialMT"/>
          <w:color w:val="ffffff"/>
          <w:w w:val="100"/>
          <w:sz w:val="12"/>
          <w:szCs w:val="12"/>
        </w:rPr>
        <w:t>LD: +33 1 86 69 39 23</w:t>
      </w:r>
    </w:p>
    <w:p>
      <w:pPr>
        <w:pStyle w:val="Normal"/>
        <w:framePr w:w="1886" w:hAnchor="page" w:vAnchor="page" w:x="4863" w:y="3134"/>
        <w:widowControl w:val="off"/>
        <w:autoSpaceDE w:val="off"/>
        <w:autoSpaceDN w:val="off"/>
        <w:spacing w:before="0" w:after="0" w:line="128" w:lineRule="exact"/>
        <w:ind w:left="0" w:right="0" w:first-line="0"/>
        <w:jc w:val="left"/>
        <w:rPr>
          <w:rFonts w:ascii="LDEEPM+ArialMT" w:hAnsi="LDEEPM+ArialMT" w:fareast="LDEEPM+ArialMT" w:cs="LDEEPM+ArialMT"/>
          <w:color w:val="ffffff"/>
          <w:w w:val="100"/>
          <w:sz w:val="12"/>
          <w:szCs w:val="12"/>
        </w:rPr>
      </w:pPr>
      <w:r>
        <w:rPr>
          <w:rFonts w:ascii="LDEEPM+ArialMT" w:hAnsi="LDEEPM+ArialMT" w:fareast="LDEEPM+ArialMT" w:cs="LDEEPM+ArialMT"/>
          <w:color w:val="ffffff"/>
          <w:w w:val="100"/>
          <w:sz w:val="12"/>
          <w:szCs w:val="12"/>
        </w:rPr>
        <w:t>Director Building Consultancy</w:t>
      </w:r>
    </w:p>
    <w:p>
      <w:pPr>
        <w:pStyle w:val="Normal"/>
        <w:framePr w:w="1159" w:hAnchor="page" w:vAnchor="page" w:x="10220" w:y="3134"/>
        <w:widowControl w:val="off"/>
        <w:autoSpaceDE w:val="off"/>
        <w:autoSpaceDN w:val="off"/>
        <w:spacing w:before="0" w:after="0" w:line="128" w:lineRule="exact"/>
        <w:ind w:left="0" w:right="0" w:first-line="0"/>
        <w:jc w:val="left"/>
        <w:rPr>
          <w:rFonts w:ascii="LDEEPM+ArialMT" w:hAnsi="LDEEPM+ArialMT" w:fareast="LDEEPM+ArialMT" w:cs="LDEEPM+ArialMT"/>
          <w:color w:val="ffffff"/>
          <w:w w:val="100"/>
          <w:sz w:val="12"/>
          <w:szCs w:val="12"/>
        </w:rPr>
      </w:pPr>
      <w:r>
        <w:rPr>
          <w:rFonts w:ascii="LDEEPM+ArialMT" w:hAnsi="LDEEPM+ArialMT" w:fareast="LDEEPM+ArialMT" w:cs="LDEEPM+ArialMT"/>
          <w:color w:val="ffffff"/>
          <w:w w:val="100"/>
          <w:sz w:val="12"/>
          <w:szCs w:val="12"/>
        </w:rPr>
        <w:t>Building surveyor</w:t>
      </w:r>
    </w:p>
    <w:p>
      <w:pPr>
        <w:pStyle w:val="Normal"/>
        <w:framePr w:w="1119" w:hAnchor="page" w:vAnchor="page" w:x="4863" w:y="2836"/>
        <w:widowControl w:val="off"/>
        <w:autoSpaceDE w:val="off"/>
        <w:autoSpaceDN w:val="off"/>
        <w:spacing w:before="0" w:after="0" w:line="128" w:lineRule="exact"/>
        <w:ind w:left="0" w:right="0" w:first-line="0"/>
        <w:jc w:val="left"/>
        <w:rPr>
          <w:rFonts w:ascii="LDEEPM+ArialMT" w:hAnsi="LDEEPM+ArialMT" w:fareast="LDEEPM+ArialMT" w:cs="LDEEPM+ArialMT"/>
          <w:color w:val="ffffff"/>
          <w:w w:val="100"/>
          <w:sz w:val="10"/>
          <w:szCs w:val="10"/>
        </w:rPr>
      </w:pPr>
      <w:r>
        <w:rPr>
          <w:rFonts w:ascii="LDEEPM+ArialMT" w:hAnsi="LDEEPM+ArialMT" w:fareast="LDEEPM+ArialMT" w:cs="LDEEPM+ArialMT"/>
          <w:color w:val="ffffff"/>
          <w:w w:val="100"/>
          <w:sz w:val="12"/>
          <w:szCs w:val="12"/>
        </w:rPr>
        <w:t xml:space="preserve">Garth Ball </w:t>
      </w:r>
      <w:r>
        <w:rPr>
          <w:rFonts w:ascii="LDEEPM+ArialMT" w:hAnsi="LDEEPM+ArialMT" w:fareast="LDEEPM+ArialMT" w:cs="LDEEPM+ArialMT"/>
          <w:color w:val="ffffff"/>
          <w:w w:val="100"/>
          <w:sz w:val="10"/>
          <w:szCs w:val="10"/>
        </w:rPr>
        <w:t xml:space="preserve"> MRICS</w:t>
      </w:r>
    </w:p>
    <w:p>
      <w:pPr>
        <w:pStyle w:val="Normal"/>
        <w:framePr w:w="985" w:hAnchor="page" w:vAnchor="page" w:x="10219" w:y="2836"/>
        <w:widowControl w:val="off"/>
        <w:autoSpaceDE w:val="off"/>
        <w:autoSpaceDN w:val="off"/>
        <w:spacing w:before="0" w:after="0" w:line="128" w:lineRule="exact"/>
        <w:ind w:left="0" w:right="0" w:first-line="0"/>
        <w:jc w:val="left"/>
        <w:rPr>
          <w:rFonts w:ascii="LDEEPM+ArialMT" w:hAnsi="LDEEPM+ArialMT" w:fareast="LDEEPM+ArialMT" w:cs="LDEEPM+ArialMT"/>
          <w:color w:val="ffffff"/>
          <w:w w:val="100"/>
          <w:sz w:val="12"/>
          <w:szCs w:val="12"/>
        </w:rPr>
      </w:pPr>
      <w:r>
        <w:rPr>
          <w:rFonts w:ascii="LDEEPM+ArialMT" w:hAnsi="LDEEPM+ArialMT" w:fareast="LDEEPM+ArialMT" w:cs="LDEEPM+ArialMT"/>
          <w:color w:val="ffffff"/>
          <w:w w:val="100"/>
          <w:sz w:val="12"/>
          <w:szCs w:val="12"/>
        </w:rPr>
        <w:t>Aurelie Hubert</w:t>
      </w:r>
    </w:p>
    <w:p>
      <w:pPr>
        <w:pStyle w:val="Normal"/>
        <w:framePr w:w="9710" w:hAnchor="page" w:vAnchor="page" w:x="4123" w:y="309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OXPWFG+Arial-BoldMT" w:hAnsi="OXPWFG+Arial-BoldMT" w:fareast="OXPWFG+Arial-BoldMT" w:cs="OXPWFG+Arial-BoldMT"/>
          <w:color w:val="002144"/>
          <w:w w:val="100"/>
          <w:sz w:val="24"/>
          <w:szCs w:val="24"/>
        </w:rPr>
      </w:pPr>
      <w:r>
        <w:rPr>
          <w:rFonts w:ascii="OXPWFG+Arial-BoldMT" w:hAnsi="OXPWFG+Arial-BoldMT" w:fareast="OXPWFG+Arial-BoldMT" w:cs="OXPWFG+Arial-BoldMT"/>
          <w:color w:val="002144"/>
          <w:w w:val="100"/>
          <w:sz w:val="24"/>
          <w:szCs w:val="24"/>
        </w:rPr>
        <w:t>SAVILLS TECHNICAL DUE DILIGENCE RED FLAG AND CAPEX APPRAISAL</w:t>
      </w:r>
    </w:p>
    <w:p>
      <w:pPr>
        <w:pStyle w:val="Normal"/>
        <w:framePr w:w="7434" w:hAnchor="page" w:vAnchor="page" w:x="400" w:y="219"/>
        <w:widowControl w:val="off"/>
        <w:autoSpaceDE w:val="off"/>
        <w:autoSpaceDN w:val="off"/>
        <w:spacing w:before="0" w:after="0" w:line="223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  <w:r>
        <w:rPr>
          <w:rFonts w:ascii="Arial" w:hAnsi="Arial" w:fareast="Arial" w:cs="Arial"/>
          <w:color w:val="ff0000"/>
          <w:w w:val="100"/>
          <w:sz w:val="20"/>
          <w:szCs w:val="20"/>
        </w:rPr>
        <w:t>Evaluation Warning : The document was created with Spire.PDF for .NET.</w:t>
      </w:r>
    </w:p>
    <w:p>
      <w:pPr>
        <w:pStyle w:val="Normal"/>
        <w:autoSpaceDE w:val="off"/>
        <w:autoSpaceDN w:val="off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noProof w:val="on"/>
          <w:color w:val="000000"/>
          <w:sz w:val="14"/>
          <w:szCs w:val="14"/>
        </w:rPr>
      </w:pP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1" style="position:absolute;margin-left:740.05pt;margin-top:14pt;z-index:-16776968;width:45pt;height:41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2" style="position:absolute;margin-left:62.75pt;margin-top:73.2pt;z-index:-16776964;width:715.9pt;height:448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3" o:title=""/>
          </v:shape>
        </w:pict>
      </w:r>
    </w:p>
    <w:sectPr>
      <w:pgSz w:w="16820" w:h="11900"/>
      <w:pgMar w:top="400" w:right="400" w:bottom="400" w:left="400" w:header="720" w:footer="720"/>
      <w:pgNumType w:start="8"/>
      <w:cols w:space="720" w:sep="off"/>
      <w:docGrid w:line-pitch="31680"/>
    </w:sectPr>
  </w:body>
</w:document>
</file>

<file path=word/fontTable.xml><?xml version="1.0" encoding="utf-8"?>
<w:fonts xmlns:w="http://schemas.openxmlformats.org/wordprocessingml/2006/main">
  <w:defaultFonts w:hintType="default" w:ascii="Calibri" w:h-ansi="Calibri" w:fareast="宋体"/>
  <w:font w:name="Times New Roman">
    <w:panose-1>"02020603050405020304"</w:panose-1>
    <w:charset>
      <w:val>"00"</w:val>
    </w:charset>
    <w:family>"Roman"</w:family>
    <w:notTrueType w:val="off"/>
    <w:pitch>"variable"</w:pitch>
    <w:sig w:usb0="01010101" w:usb1="01010101" w:usb2="01010101" w:usb3="01010101" w:csb0="01010101" w:csb1="01010101"/>
  </w:font>
  <w:font w:name="Symbol">
    <w:panose-1>"05050102010706020507"</w:panose-1>
    <w:charset>
      <w:val>"02"</w:val>
    </w:charset>
    <w:family>"Roman"</w:family>
    <w:notTrueType w:val="off"/>
    <w:pitch>"variable"</w:pitch>
    <w:sig w:usb0="01010101" w:usb1="01010101" w:usb2="01010101" w:usb3="01010101" w:csb0="01010101" w:csb1="01010101"/>
  </w:font>
  <w:font w:name="Arial">
    <w:panose-1>"020b0604020202020204"</w:panose-1>
    <w:charset>
      <w:val>"00"</w:val>
    </w:charset>
    <w:family>"Swiss"</w:family>
    <w:notTrueType w:val="off"/>
    <w:pitch>"variable"</w:pitch>
    <w:sig w:usb0="01010101" w:usb1="01010101" w:usb2="01010101" w:usb3="01010101" w:csb0="01010101" w:csb1="01010101"/>
  </w:font>
  <w:font w:name="Calibri">
    <w:panose-1>"020f0502020204030204"</w:panose-1>
    <w:charset>
      <w:val>"00"</w:val>
    </w:charset>
    <w:family>"Swiss"</w:family>
    <w:notTrueType w:val="off"/>
    <w:pitch>"variable"</w:pitch>
    <w:sig w:usb0="01010101" w:usb1="01010101" w:usb2="01010101" w:usb3="01010101" w:csb0="01010101" w:csb1="01010101"/>
  </w:font>
  <w:font w:name="宋体">
    <w:altName>"SimSun"</w:altName>
    <w:panose-1>"02010600030101010101"</w:panose-1>
    <w:charset>
      <w:val>"86"</w:val>
    </w:charset>
    <w:family>"Auto"</w:family>
    <w:notTrueType w:val="off"/>
    <w:pitch>"variable"</w:pitch>
    <w:sig w:usb0="01010101" w:usb1="01010101" w:usb2="01010101" w:usb3="01010101" w:csb0="01010101" w:csb1="01010101"/>
  </w:font>
  <w:font w:name="Cambria Math">
    <w:panose-1>"02040503050406030204"</w:panose-1>
    <w:family>"Roman"</w:family>
    <w:notTrueType w:val="on"/>
    <w:pitch>"variable"</w:pitch>
    <w:sig w:usb0="01010101" w:usb1="01010101" w:usb2="01010101" w:usb3="01010101" w:csb0="01010101" w:csb1="01010101"/>
  </w:font>
  <w:font w:name="OXPWFG+Arial-BoldMT">
    <w:panose-1>"020b0504020202020204"</w:panose-1>
    <w:family>"Swiss"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1" w:fontKey="{44bad3c0-0000-0000-0000-000000000000}"/>
  </w:font>
  <w:font w:name="LDEEPM+ArialMT">
    <w:panose-1>"020b0504020202020204"</w:panose-1>
    <w:family>"Swiss"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2" w:fontKey="{993ea26e-0000-0000-0000-000000000000}"/>
  </w:font>
  <w:font w:name="KMNTBO+Calibri-Bold">
    <w:panose-1>"020f0502030404030204"</w:panose-1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3" w:fontKey="{0b6b186d-0000-0000-0000-0000000000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style w:type="paragraph" w:styleId="Normal" w:default="on">
    <w:name w:val="Normal"/>
    <w:next w:val="Normal"/>
    <w:link w:val="Normal"/>
    <w:pPr>
      <w:pStyle w:val="Normal"/>
      <w:spacing w:after="200" w:line="276"/>
    </w:pPr>
    <w:rPr>
      <w:sz w:val="22"/>
      <w:szCs w:val="22"/>
      <w:lang w:val="en-US" w:fareast="zh-CN" w:bidi="ar-SA"/>
    </w:rPr>
  </w:style>
  <w:style w:type="character" w:styleId="DefaultParagraphFont" w:default="on">
    <w:name w:val="Default Paragraph Font"/>
    <w:next w:val="DefaultParagraphFont"/>
    <w:link w:val="Normal"/>
    <w:semiHidden w:val="on"/>
  </w:style>
  <w:style w:type="table" w:styleId="TableNormal" w:default="on">
    <w:name w:val="Table Normal"/>
    <w:next w:val="TableNormal"/>
    <w:link w:val="Normal"/>
    <w:semiHidden w:val="on"/>
    <w:pPr>
      <w:pStyle w:val="TableNormal"/>
    </w:pPr>
    <w:tblPr>
      <w:tblStyle w:val="TableNormal"/>
      <w:tblInd w:w="0" w:type="dxa"/>
      <w:tblLayout>"Fixed"</w:tblLayout>
      <w:tblCellMar>
        <w:top w:w="0" w:type="dxa"/>
        <w:left w:w="108" w:type="dxa"/>
        <w:bottom w:w="0" w:type="dxa"/>
        <w:right w:w="0" w:type="dxa"/>
      </w:tblCellMar>
    </w:tblPr>
  </w:style>
  <w:style w:type="list" w:styleId="NoList" w:default="on">
    <w:name w:val="No List"/>
    <w:next w:val="NoList"/>
    <w:link w:val="Normal"/>
    <w:semiHidden w:val="on"/>
    <w:pPr>
      <w:pStyle w:val="NoLis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" Type="http://schemas.openxmlformats.org/officeDocument/2006/relationships/image" Target="media/image2.png" /><Relationship Id="rId20" Type="http://schemas.openxmlformats.org/officeDocument/2006/relationships/image" Target="media/image20.png" /><Relationship Id="rId21" Type="http://schemas.openxmlformats.org/officeDocument/2006/relationships/image" Target="media/image21.png" /><Relationship Id="rId22" Type="http://schemas.openxmlformats.org/officeDocument/2006/relationships/image" Target="media/image22.png" /><Relationship Id="rId23" Type="http://schemas.openxmlformats.org/officeDocument/2006/relationships/image" Target="media/image23.png" /><Relationship Id="rId24" Type="http://schemas.openxmlformats.org/officeDocument/2006/relationships/image" Target="media/image24.jpeg" /><Relationship Id="rId25" Type="http://schemas.openxmlformats.org/officeDocument/2006/relationships/image" Target="media/image25.png" /><Relationship Id="rId26" Type="http://schemas.openxmlformats.org/officeDocument/2006/relationships/image" Target="media/image26.png" /><Relationship Id="rId27" Type="http://schemas.openxmlformats.org/officeDocument/2006/relationships/image" Target="media/image27.png" /><Relationship Id="rId28" Type="http://schemas.openxmlformats.org/officeDocument/2006/relationships/image" Target="media/image28.png" /><Relationship Id="rId29" Type="http://schemas.openxmlformats.org/officeDocument/2006/relationships/image" Target="media/image29.png" /><Relationship Id="rId3" Type="http://schemas.openxmlformats.org/officeDocument/2006/relationships/image" Target="media/image3.jpeg" /><Relationship Id="rId30" Type="http://schemas.openxmlformats.org/officeDocument/2006/relationships/image" Target="media/image30.png" /><Relationship Id="rId31" Type="http://schemas.openxmlformats.org/officeDocument/2006/relationships/image" Target="media/image31.png" /><Relationship Id="rId32" Type="http://schemas.openxmlformats.org/officeDocument/2006/relationships/image" Target="media/image32.png" /><Relationship Id="rId33" Type="http://schemas.openxmlformats.org/officeDocument/2006/relationships/image" Target="media/image33.jpeg" /><Relationship Id="rId34" Type="http://schemas.openxmlformats.org/officeDocument/2006/relationships/image" Target="media/image34.png" /><Relationship Id="rId35" Type="http://schemas.openxmlformats.org/officeDocument/2006/relationships/image" Target="media/image35.png" /><Relationship Id="rId36" Type="http://schemas.openxmlformats.org/officeDocument/2006/relationships/image" Target="media/image36.png" /><Relationship Id="rId37" Type="http://schemas.openxmlformats.org/officeDocument/2006/relationships/image" Target="media/image37.png" /><Relationship Id="rId38" Type="http://schemas.openxmlformats.org/officeDocument/2006/relationships/image" Target="media/image38.png" /><Relationship Id="rId39" Type="http://schemas.openxmlformats.org/officeDocument/2006/relationships/image" Target="media/image39.png" /><Relationship Id="rId4" Type="http://schemas.openxmlformats.org/officeDocument/2006/relationships/image" Target="media/image4.jpeg" /><Relationship Id="rId40" Type="http://schemas.openxmlformats.org/officeDocument/2006/relationships/image" Target="media/image40.jpeg" /><Relationship Id="rId41" Type="http://schemas.openxmlformats.org/officeDocument/2006/relationships/image" Target="media/image41.png" /><Relationship Id="rId42" Type="http://schemas.openxmlformats.org/officeDocument/2006/relationships/image" Target="media/image42.png" /><Relationship Id="rId43" Type="http://schemas.openxmlformats.org/officeDocument/2006/relationships/image" Target="media/image43.png" /><Relationship Id="rId44" Type="http://schemas.openxmlformats.org/officeDocument/2006/relationships/image" Target="media/image44.png" /><Relationship Id="rId45" Type="http://schemas.openxmlformats.org/officeDocument/2006/relationships/image" Target="media/image45.jpeg" /><Relationship Id="rId46" Type="http://schemas.openxmlformats.org/officeDocument/2006/relationships/image" Target="media/image46.png" /><Relationship Id="rId47" Type="http://schemas.openxmlformats.org/officeDocument/2006/relationships/image" Target="media/image47.png" /><Relationship Id="rId48" Type="http://schemas.openxmlformats.org/officeDocument/2006/relationships/image" Target="media/image48.png" /><Relationship Id="rId49" Type="http://schemas.openxmlformats.org/officeDocument/2006/relationships/image" Target="media/image49.jpeg" /><Relationship Id="rId5" Type="http://schemas.openxmlformats.org/officeDocument/2006/relationships/image" Target="media/image5.png" /><Relationship Id="rId50" Type="http://schemas.openxmlformats.org/officeDocument/2006/relationships/image" Target="media/image50.png" /><Relationship Id="rId51" Type="http://schemas.openxmlformats.org/officeDocument/2006/relationships/image" Target="media/image51.png" /><Relationship Id="rId52" Type="http://schemas.openxmlformats.org/officeDocument/2006/relationships/image" Target="media/image52.png" /><Relationship Id="rId53" Type="http://schemas.openxmlformats.org/officeDocument/2006/relationships/image" Target="media/image53.jpeg" /><Relationship Id="rId54" Type="http://schemas.openxmlformats.org/officeDocument/2006/relationships/image" Target="media/image54.png" /><Relationship Id="rId55" Type="http://schemas.openxmlformats.org/officeDocument/2006/relationships/image" Target="media/image55.png" /><Relationship Id="rId56" Type="http://schemas.openxmlformats.org/officeDocument/2006/relationships/image" Target="media/image56.jpeg" /><Relationship Id="rId57" Type="http://schemas.openxmlformats.org/officeDocument/2006/relationships/image" Target="media/image57.jpeg" /><Relationship Id="rId58" Type="http://schemas.openxmlformats.org/officeDocument/2006/relationships/image" Target="media/image58.jpeg" /><Relationship Id="rId59" Type="http://schemas.openxmlformats.org/officeDocument/2006/relationships/image" Target="media/image59.jpeg" /><Relationship Id="rId6" Type="http://schemas.openxmlformats.org/officeDocument/2006/relationships/image" Target="media/image6.png" /><Relationship Id="rId60" Type="http://schemas.openxmlformats.org/officeDocument/2006/relationships/image" Target="media/image60.jpeg" /><Relationship Id="rId61" Type="http://schemas.openxmlformats.org/officeDocument/2006/relationships/image" Target="media/image61.jpeg" /><Relationship Id="rId62" Type="http://schemas.openxmlformats.org/officeDocument/2006/relationships/image" Target="media/image62.jpeg" /><Relationship Id="rId63" Type="http://schemas.openxmlformats.org/officeDocument/2006/relationships/image" Target="media/image63.png" /><Relationship Id="rId64" Type="http://schemas.openxmlformats.org/officeDocument/2006/relationships/styles" Target="styles.xml" /><Relationship Id="rId65" Type="http://schemas.openxmlformats.org/officeDocument/2006/relationships/fontTable" Target="fontTable.xml" /><Relationship Id="rId66" Type="http://schemas.openxmlformats.org/officeDocument/2006/relationships/settings" Target="settings.xml" /><Relationship Id="rId67" Type="http://schemas.openxmlformats.org/officeDocument/2006/relationships/webSettings" Target="webSettings.xml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/Relationships>
</file>

<file path=docProps/app.xml><?xml version="1.0" encoding="utf-8"?>
<Properties xmlns="http://schemas.openxmlformats.org/officeDocument/2006/extended-properties">
  <Template>Normal.dotm</Template>
  <TotalTime>3</TotalTime>
  <Pages>8</Pages>
  <Words>3563</Words>
  <Characters>17130</Characters>
  <Application>Adobe PDF Library 23.6.156</Application>
  <DocSecurity>0</DocSecurity>
  <Lines>718</Lines>
  <Paragraphs>718</Paragraphs>
  <ScaleCrop>false</ScaleCrop>
  <LinksUpToDate>false</LinksUpToDate>
  <CharactersWithSpaces>21486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Ricardo Coelho</dc:creator>
  <cp:revision xmlns:cp="http://schemas.openxmlformats.org/package/2006/metadata/core-properties">1</cp:revision>
  <dcterms:created xmlns:xsi="http://www.w3.org/2001/XMLSchema-instance" xmlns:dcterms="http://purl.org/dc/terms/" xsi:type="dcterms:W3CDTF">2024-03-18T01:42:52+01:00</dcterms:created>
  <dcterms:modified xmlns:xsi="http://www.w3.org/2001/XMLSchema-instance" xmlns:dcterms="http://purl.org/dc/terms/" xsi:type="dcterms:W3CDTF">2024-03-18T01:42:52+01:00</dcterms:modified>
</coreProperties>
</file>