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065A82"/>
          <w:sz w:val="52"/>
          <w:szCs w:val="52"/>
        </w:rPr>
        <w:t xml:space="preserve">Student Performance Prediction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028090"/>
          <w:sz w:val="28"/>
          <w:szCs w:val="28"/>
        </w:rPr>
        <w:t xml:space="preserve">A Big Data Analytics Project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Following the Data Analytics Lifecycle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 Khairy  |  Hamza Milad  |  Youssef Halawa  |  Abdelrahman Amgad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ESLSCA University  —  Big Data Analysis Course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Dr. Mohamed Labib  |  Spring 2026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Introduction: Big Data Context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This project applies the Data Analytics Lifecycle — as taught in the Big Data Analysis course — to the domain of educational analytics. Student performance data is well-suited for big data analytical techniques, as it combines multiple data types (numerical grades, categorical demographics, ordinal lifestyle indicators) and scales to institution-wide datasets.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We situate this project within the 5 Vs framework of Big Data (Lecture 1 &amp;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5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This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 &amp;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 student records, 28 features — scalable to institution-wide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Velocity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Speed of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Grades updated each period (G1→G2→G3); timely intervention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 formats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 of numerical grades, categorical demographics, ordinal lifestyle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Checked for missing values, duplicates, and outliers before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Predict at-risk students to enable early intervention and reduce dropout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 — The 5 Vs of Big Data applied to the student performance dataset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Following the Analytics Process (Lec 1 &amp; 2): Business Objective → Data Preparation → EDA → Preprocessing → Analytics → Visualization, this project is formally structured within the six-phase Data Analytics Lifecycle (Lec 5).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Phase 1: Discovery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The Discovery phase defines the business problem, identifies stakeholders, and sets the analytical questions and KPIs (Lec 5).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1.1 Business Problem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Secondary schools struggle to identify at-risk students before it is too late to intervene. A predictive model built on early-semester data (G1, G2, study habits) can allow teachers and counselors to act while there is still time to support failing students.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1.2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School administration: requires a performance overview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Teachers: need to identify struggling students after first period grades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School counselors: need student-level pass/fail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Parents: benefit from early academic risk notifications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1.3 Analytical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student factors most significantly predict final grade G3?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a classification model accurately identify students who will fail before the final exam?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relationship between study time, absenteeism, past failures, and academic outcomes?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1.4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1: Overall pass rate (target: &gt; 75%)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2: Classification model accuracy (target: &gt; 80%)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3: Grade prediction MAE (target: &lt; 2.5 grade points)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Phase 2: Data Preparation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This phase covers data collection, cleaning, exploration, and preprocessing — following Lec 5: "Collect, clean, and explore the data."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2.1 Dataset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Based on the UCI Student Performance Dataset (Cortez &amp; Silva, 2008) — 395 students, 28 features across demographic, academic, family/social, and lifestyle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G3 (0–20)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Classification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 — Dataset summary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2.2 Data Cleaning (Lec 5 — "Handle missing values, standardize data")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missing values confirmed — no imputation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duplicate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Absences clipped at 75 to handle extreme outliers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G3 = 0 cluster identified as dropouts — retained as valid observations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2.3 Preprocessing (Lec 1&amp;2 — "Standardization, Normalization, Transformation")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Encoding: 12 binary categorical variables encoded as 0/1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StandardScaler: All numerical features normalized (zero mean, unit variance)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Engineering: Pass/Fail derived (G3 ≥ 10 = Pass)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Train/Test Split: 80% train / 20% test, stratified by class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Exploratory Data Analysis (EDA)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EDA is described in Lec 5 as "a crucial step focusing on summarizing and visualizing datasets to uncover patterns." We applied statistical and graphical techniques as recommended.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Descriptive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1110"/>
        <w:gridCol w:w="1110"/>
        <w:gridCol w:w="1110"/>
        <w:gridCol w:w="103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12.43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3.47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12.51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3.76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4.31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Study 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2.45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Failures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Absences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3.71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 — Descriptive statistics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Overall pass rate: 76.2% — exceeds the 75% KPI target. Mean G3: 12.10/20 (std: 4.31).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Global Properties — Histograms (Lec 5 EDA)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Grade distributions (G1, G2, G3)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All three distributions are approximately normal with slight left skew. The zero cluster in G3 represents dropouts.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Correlation Analysis (Lec 5 — "Explore trends and correlations")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Pearson correlation heatmap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G2 (r=0.92) and G1 (r=0.82) dominate. Failures (r=-0.38) and alcohol (r=-0.17) are the strongest negative predictors.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Group Properties — Subgroup Analysis (Lec 5 EDA)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Key factor relationships with G3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Pass rate by gender and school</w:t>
      </w:r>
    </w:p>
    <w:p>
      <w:pPr>
        <w:spacing w:after="120" w:before="120"/>
        <w:jc w:val="center"/>
      </w:pPr>
      <w:r>
        <w:drawing>
          <wp:inline distT="0" distB="0" distL="0" distR="0">
            <wp:extent cx="4667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 — Feature correlation ranking with G3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Phase 3: Model Planning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Selecting techniques and defining the workflow — Lec 5: "Identify appropriate methods, determine target variable, decide evaluation metrics."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Reference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Prediction (G3)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Continuous target 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 Tasks — Lec 1&amp;2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Pass/Fail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Quick baseline classifier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 5 — Model Planning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 Tree (d=5)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Pass/Fail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Non-linear patterns, interpretable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 5 — Model Planning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 — Model planning blueprint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Evaluation metrics (Lec 5): Accuracy, Precision, Recall, F1 Score for classification; RMSE, MAE, R² for regression.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Phase 4: Model Building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"Build, train, and validate models using historical data" (Lec 5). All models use 15 features including G1, G2, study time, failures, absences, parental education, and lifestyle variables.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Linear Regression Results</w:t>
      </w:r>
    </w:p>
    <w:p>
      <w:pPr>
        <w:spacing w:after="120" w:before="120"/>
        <w:jc w:val="center"/>
      </w:pPr>
      <w:r>
        <w:drawing>
          <wp:inline distT="0" distB="0" distL="0" distR="0">
            <wp:extent cx="54292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 — Actual vs. predicted and residual distribution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 — Standardized coefficients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R² = 0.621 (explains 62.1% of variance). MAE = 1.63 grade points — within the 2.5 KPI target.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Classification Results</w:t>
      </w:r>
    </w:p>
    <w:p>
      <w:pPr>
        <w:spacing w:after="120" w:before="120"/>
        <w:jc w:val="center"/>
      </w:pPr>
      <w:r>
        <w:drawing>
          <wp:inline distT="0" distB="0" distL="0" distR="0">
            <wp:extent cx="5191125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 — Confusion matrices</w:t>
      </w:r>
    </w:p>
    <w:p>
      <w:pPr>
        <w:spacing w:after="120" w:before="120"/>
        <w:jc w:val="center"/>
      </w:pPr>
      <w:r>
        <w:drawing>
          <wp:inline distT="0" distB="0" distL="0" distR="0">
            <wp:extent cx="481012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 — Model metric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R²=0.621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RMSE=2.93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MAE=1.63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87.3%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93.3%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91.8%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 Tree (d=5)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87.3%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91.7%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91.7%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91.7%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 — Model performance summary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Phase 5: Communication of Results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"Share findings, create visualizations, and provide actionable recommendations" (Lec 5). An interactive Power BI-style dashboard is provided as a separate HTML deliverable (as taught in Lec 6).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5.1 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G1 and G2 (prior grades) are the dominant predictors of G3, with correlations of 0.82 and 0.92 respectively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Students with 1+ past failures score an average of 4 points lower in G3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Studying &gt;5h/week yields 2-3 additional grade points vs. studying &lt;2h/week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10 additional absences is associated with approximately a 1-point drop in G3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76.2% of students pass — models identify the at-risk 23.8% with 87.3% accuracy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5.2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Alert System: Flag students with G1 &lt; 10 or any past failure for immediate counselor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 Monitoring: Trigger alerts when absences exceed 6 in a semester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Skills Program: Target students studying &lt;2h/week with structured workshops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 Engagement: Prioritize outreach to families with low parental education (Medu/Fedu ≤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Deployment: Use the Power BI dashboard after each grading period to monitor cohort KPIs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Phase 6: Operationalize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"Ensure model accuracy over time and maintain updates" (Lec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classification accuracy each academic year — retrain if it drops below 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Retrain models annually with new cohort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dashboard at end of each grading period (G1, G2)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to institution-wide deployment using Apache Spark / Hadoop (covered in this course) for large student populations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Conclusion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This project applied the six-phase Data Analytics Lifecycle (Lec 5) to student performance prediction, framed within the 5 Vs of Big Data (Lec 1&amp;2) and visualized through a Power BI-style dashboard (Lec 6). Three models were built — Linear Regression (R²=0.621), Logistic Regression (87.3%), and Decision Tree (87.3%) — all exceeding project KPI targets. Five actionable recommendations are provided for school administrators and teachers.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References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Cortez, P., &amp; Silva, A. M. G. (2008). Using data mining to predict secondary school student performance. FUBUTEC 2008, Porto, Portugal.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Labib, M. (2026). Lectures 1, 2, 5, 6: Big Data Analysis Course. ESLSCA University, Spring 2026.</w:t>
      </w:r>
    </w:p>
    <w:p>
      <w:pPr>
        <w:spacing w:after="140" w:line="340"/>
      </w:pPr>
      <w:r>
        <w:rPr>
          <w:rFonts w:ascii="Arial" w:cs="Arial" w:eastAsia="Arial" w:hAnsi="Arial"/>
          <w:sz w:val="22"/>
          <w:szCs w:val="22"/>
        </w:rPr>
        <w:t xml:space="preserve">UCI Machine Learning Repository: Student Performance Dataset. https://archive.ics.uci.edu/ml/datasets/Student+Performance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28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04042c8c67dd2f87005a9aa432a4fd17d6cba5.png"/><Relationship Id="rId8" Type="http://schemas.openxmlformats.org/officeDocument/2006/relationships/image" Target="media/9774a73116e823d5554fe7c699a4c466683cfc59.png"/><Relationship Id="rId9" Type="http://schemas.openxmlformats.org/officeDocument/2006/relationships/image" Target="media/703fdfb235efc22ce8407c0d038ae880a2fc84ae.png"/><Relationship Id="rId10" Type="http://schemas.openxmlformats.org/officeDocument/2006/relationships/image" Target="media/154b80855c719bbfb4456c0a4cf1cf56bf25deff.png"/><Relationship Id="rId11" Type="http://schemas.openxmlformats.org/officeDocument/2006/relationships/image" Target="media/799a036678f71852cc87000846def6d38ab97b70.png"/><Relationship Id="rId12" Type="http://schemas.openxmlformats.org/officeDocument/2006/relationships/image" Target="media/df9b8754c5d413580370ce61c78b4beae21aa3e2.png"/><Relationship Id="rId13" Type="http://schemas.openxmlformats.org/officeDocument/2006/relationships/image" Target="media/3badb977ec92c661f433b365d5daf7cf26602914.png"/><Relationship Id="rId14" Type="http://schemas.openxmlformats.org/officeDocument/2006/relationships/image" Target="media/bfc1131a3aa7621e545254ce98ae3b05e78c351d.png"/><Relationship Id="rId15" Type="http://schemas.openxmlformats.org/officeDocument/2006/relationships/image" Target="media/685250807477fc53ed3a6acf7963ec76269225f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2026-05-05T13:13:43.327Z</dcterms:created>
  <dcterms:modified xsi:type="dcterms:W3CDTF">2026-05-05T13:13:43.327Z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