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Clause 1.1: This company is governed by the laws of the ADGM Courts.</w:t>
      </w:r>
    </w:p>
    <w:p>
      <w:r>
        <w:t>Clause 2.1: The objectives of the company shall be lawful and valid under ADGM regulations.</w:t>
      </w:r>
    </w:p>
    <w:p>
      <w:r>
        <w:t>REVIEW NOTE (general): REVIEW NOTE (severity=Medium): Missing explicit signatory or signature block. Suggestion: Add signatory name, title and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