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Clause 3.1: This company is governed by the laws of the UAE Federal Courts.</w:t>
      </w:r>
    </w:p>
    <w:p>
      <w:r>
        <w:t>Clause 5.2: Shareholder details shall be recorded accordingly.</w:t>
      </w:r>
    </w:p>
    <w:p>
      <w:r>
        <w:t>[SIGNATURE SECTION MISSING]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