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13F" w:rsidRDefault="0056013F" w:rsidP="00746289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2993DB4" wp14:editId="1853CDB6">
            <wp:extent cx="493776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3F" w:rsidRDefault="00746289" w:rsidP="004E5D8D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84F8149" wp14:editId="5382E730">
            <wp:extent cx="6248400" cy="4468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7526" cy="44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3F" w:rsidRDefault="0056013F" w:rsidP="004E5D8D">
      <w:pPr>
        <w:spacing w:line="276" w:lineRule="auto"/>
        <w:jc w:val="both"/>
        <w:rPr>
          <w:noProof/>
        </w:rPr>
      </w:pPr>
    </w:p>
    <w:p w:rsidR="0056013F" w:rsidRDefault="00746289" w:rsidP="00746289">
      <w:pPr>
        <w:spacing w:line="276" w:lineRule="auto"/>
        <w:jc w:val="center"/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BB5C0F7" wp14:editId="20D5286E">
            <wp:extent cx="6370320" cy="5577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7867" cy="56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013F" w:rsidRDefault="00746289" w:rsidP="004E5D8D">
      <w:pPr>
        <w:spacing w:line="27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F4CAA8A" wp14:editId="2B373CB6">
            <wp:extent cx="5943600" cy="5692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49" w:rsidRDefault="00746289" w:rsidP="00746289">
      <w:pPr>
        <w:spacing w:line="276" w:lineRule="auto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3A28F3C" wp14:editId="323D5D43">
            <wp:extent cx="5029200" cy="1133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49" w:rsidRDefault="000F71D9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rtl/>
        </w:rPr>
      </w:pPr>
      <w:r w:rsidRPr="000F71D9">
        <w:rPr>
          <w:rFonts w:asciiTheme="majorBidi" w:hAnsiTheme="majorBidi" w:cstheme="majorBidi"/>
          <w:sz w:val="28"/>
          <w:szCs w:val="28"/>
        </w:rPr>
        <w:t>The cell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 xml:space="preserve">contents are surrounded by a plasma membrane called the </w:t>
      </w:r>
      <w:proofErr w:type="spellStart"/>
      <w:r w:rsidRPr="000F71D9">
        <w:rPr>
          <w:rFonts w:asciiTheme="majorBidi" w:hAnsiTheme="majorBidi" w:cstheme="majorBidi"/>
          <w:sz w:val="28"/>
          <w:szCs w:val="28"/>
        </w:rPr>
        <w:t>plasmalemma</w:t>
      </w:r>
      <w:proofErr w:type="spellEnd"/>
      <w:r w:rsidRPr="000F71D9">
        <w:rPr>
          <w:rFonts w:asciiTheme="majorBidi" w:hAnsiTheme="majorBidi" w:cstheme="majorBidi"/>
          <w:sz w:val="28"/>
          <w:szCs w:val="28"/>
        </w:rPr>
        <w:t xml:space="preserve"> and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are enclosed by a cell wall. The cell contains organelles, each with its own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 xml:space="preserve">characteristic shape, which divide the cell into various compartments (sub-cellular compartments). Each compartment has specialized metabolic </w:t>
      </w:r>
      <w:proofErr w:type="spellStart"/>
      <w:r w:rsidRPr="000F71D9">
        <w:rPr>
          <w:rFonts w:asciiTheme="majorBidi" w:hAnsiTheme="majorBidi" w:cstheme="majorBidi"/>
          <w:sz w:val="28"/>
          <w:szCs w:val="28"/>
        </w:rPr>
        <w:t>func-tions</w:t>
      </w:r>
      <w:proofErr w:type="spellEnd"/>
      <w:r w:rsidRPr="000F71D9">
        <w:rPr>
          <w:rFonts w:asciiTheme="majorBidi" w:hAnsiTheme="majorBidi" w:cstheme="majorBidi"/>
          <w:sz w:val="28"/>
          <w:szCs w:val="28"/>
        </w:rPr>
        <w:t xml:space="preserve">, which will </w:t>
      </w:r>
      <w:r w:rsidRPr="000F71D9">
        <w:rPr>
          <w:rFonts w:asciiTheme="majorBidi" w:hAnsiTheme="majorBidi" w:cstheme="majorBidi"/>
          <w:sz w:val="28"/>
          <w:szCs w:val="28"/>
        </w:rPr>
        <w:lastRenderedPageBreak/>
        <w:t xml:space="preserve">be discussed in detail in the following chapters (see </w:t>
      </w:r>
      <w:proofErr w:type="spellStart"/>
      <w:r w:rsidRPr="000F71D9">
        <w:rPr>
          <w:rFonts w:asciiTheme="majorBidi" w:hAnsiTheme="majorBidi" w:cstheme="majorBidi"/>
          <w:sz w:val="28"/>
          <w:szCs w:val="28"/>
        </w:rPr>
        <w:t>alsoTable</w:t>
      </w:r>
      <w:proofErr w:type="spellEnd"/>
      <w:r w:rsidRPr="000F71D9">
        <w:rPr>
          <w:rFonts w:asciiTheme="majorBidi" w:hAnsiTheme="majorBidi" w:cstheme="majorBidi"/>
          <w:sz w:val="28"/>
          <w:szCs w:val="28"/>
        </w:rPr>
        <w:t xml:space="preserve"> 1.1). The largest organelle, the vacuole, usually fills about 80% of the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total cell volume. Chloroplasts represent the next largest compartment, and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the rest of the cell volume is filled with mitochondria, peroxisomes, the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nucleus, the endoplasmic reticulum, the Golgi bodies, and, outside these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organelles, the cell plasma, called cytosol. In addition, there are oil bodies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derived from the endoplasmic reticulum. These oil bodies, which occur in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seeds and some other tissues (e.g., root nodules), are storage organelles for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triglycerides (see Chapter 15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The nucleus is surrounded by the nuclear envelope, which consists of the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two membranes of the endoplasmic reticulum. The space between the two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membranes is known as the perinuclear space. The nuclear envelope is inter-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proofErr w:type="spellStart"/>
      <w:r w:rsidRPr="000F71D9">
        <w:rPr>
          <w:rFonts w:asciiTheme="majorBidi" w:hAnsiTheme="majorBidi" w:cstheme="majorBidi"/>
          <w:sz w:val="28"/>
          <w:szCs w:val="28"/>
        </w:rPr>
        <w:t>rupted</w:t>
      </w:r>
      <w:proofErr w:type="spellEnd"/>
      <w:r w:rsidRPr="000F71D9">
        <w:rPr>
          <w:rFonts w:asciiTheme="majorBidi" w:hAnsiTheme="majorBidi" w:cstheme="majorBidi"/>
          <w:sz w:val="28"/>
          <w:szCs w:val="28"/>
        </w:rPr>
        <w:t xml:space="preserve"> by nuclear pores with a diameter of about 50 nm. The nucleus con-</w:t>
      </w:r>
      <w:proofErr w:type="spellStart"/>
      <w:r w:rsidRPr="000F71D9">
        <w:rPr>
          <w:rFonts w:asciiTheme="majorBidi" w:hAnsiTheme="majorBidi" w:cstheme="majorBidi"/>
          <w:sz w:val="28"/>
          <w:szCs w:val="28"/>
        </w:rPr>
        <w:t>tains</w:t>
      </w:r>
      <w:proofErr w:type="spellEnd"/>
      <w:r w:rsidRPr="000F71D9">
        <w:rPr>
          <w:rFonts w:asciiTheme="majorBidi" w:hAnsiTheme="majorBidi" w:cstheme="majorBidi"/>
          <w:sz w:val="28"/>
          <w:szCs w:val="28"/>
        </w:rPr>
        <w:t xml:space="preserve"> chromatin, consisting of DNA double strands that are stabilized by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being bound to basic proteins (histones). The genes of the nucleus are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collectively referred to as the nuclear genome. Within the nucleus, usually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off-center, lies the nucleolus, where ribosomal subunits are formed. These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ribosomal subunits and the messenger RNA formed by transcription of the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DNA in the nucleus migrate through the nuclear pores to the ribosomes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in the cytosol, the site of protein biosynthesis. The synthesized proteins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are distributed between the different cell compartments according to their</w:t>
      </w:r>
      <w:r w:rsidR="004E5D8D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0F71D9">
        <w:rPr>
          <w:rFonts w:asciiTheme="majorBidi" w:hAnsiTheme="majorBidi" w:cstheme="majorBidi"/>
          <w:sz w:val="28"/>
          <w:szCs w:val="28"/>
        </w:rPr>
        <w:t>final destination.</w:t>
      </w:r>
    </w:p>
    <w:p w:rsidR="00E17849" w:rsidRDefault="004E5D8D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rtl/>
        </w:rPr>
      </w:pPr>
      <w:r>
        <w:rPr>
          <w:noProof/>
        </w:rPr>
        <w:drawing>
          <wp:inline distT="0" distB="0" distL="0" distR="0" wp14:anchorId="2CB2824B" wp14:editId="4F7B38F0">
            <wp:extent cx="5943600" cy="3401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49" w:rsidRDefault="00E17849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rtl/>
        </w:rPr>
      </w:pPr>
    </w:p>
    <w:p w:rsidR="002B44F0" w:rsidRPr="00E66C7C" w:rsidRDefault="00E01AD2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</w:rPr>
      </w:pPr>
      <w:r w:rsidRPr="00E66C7C">
        <w:rPr>
          <w:rFonts w:asciiTheme="majorBidi" w:hAnsiTheme="majorBidi" w:cstheme="majorBidi"/>
          <w:sz w:val="28"/>
          <w:szCs w:val="28"/>
        </w:rPr>
        <w:t xml:space="preserve">American Ecologist Whittaker (1969) proposed the five kingdom system of classification. In </w:t>
      </w:r>
      <w:proofErr w:type="spellStart"/>
      <w:r w:rsidRPr="00E66C7C">
        <w:rPr>
          <w:rFonts w:asciiTheme="majorBidi" w:hAnsiTheme="majorBidi" w:cstheme="majorBidi"/>
          <w:sz w:val="28"/>
          <w:szCs w:val="28"/>
        </w:rPr>
        <w:t>his'Five</w:t>
      </w:r>
      <w:proofErr w:type="spellEnd"/>
      <w:r w:rsidRPr="00E66C7C">
        <w:rPr>
          <w:rFonts w:asciiTheme="majorBidi" w:hAnsiTheme="majorBidi" w:cstheme="majorBidi"/>
          <w:sz w:val="28"/>
          <w:szCs w:val="28"/>
        </w:rPr>
        <w:t xml:space="preserve"> Kingdom System', he added three more kingdoms in </w:t>
      </w:r>
      <w:proofErr w:type="spellStart"/>
      <w:r w:rsidRPr="00E66C7C">
        <w:rPr>
          <w:rFonts w:asciiTheme="majorBidi" w:hAnsiTheme="majorBidi" w:cstheme="majorBidi"/>
          <w:sz w:val="28"/>
          <w:szCs w:val="28"/>
        </w:rPr>
        <w:t>Linnean</w:t>
      </w:r>
      <w:proofErr w:type="spellEnd"/>
      <w:r w:rsidRPr="00E66C7C">
        <w:rPr>
          <w:rFonts w:asciiTheme="majorBidi" w:hAnsiTheme="majorBidi" w:cstheme="majorBidi"/>
          <w:sz w:val="28"/>
          <w:szCs w:val="28"/>
        </w:rPr>
        <w:t xml:space="preserve"> model of two kingdom system.</w:t>
      </w:r>
    </w:p>
    <w:p w:rsidR="00E66C7C" w:rsidRDefault="00E66C7C" w:rsidP="004E5D8D">
      <w:pPr>
        <w:spacing w:line="276" w:lineRule="auto"/>
        <w:jc w:val="both"/>
        <w:rPr>
          <w:rStyle w:val="markedcontent"/>
          <w:rFonts w:asciiTheme="majorBidi" w:hAnsiTheme="majorBidi" w:cstheme="majorBidi"/>
          <w:sz w:val="28"/>
          <w:szCs w:val="28"/>
        </w:rPr>
      </w:pP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Whittaker's five</w:t>
      </w:r>
      <w:r w:rsidRPr="00E66C7C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kingdom system of classification is based on (a) mode of nutrition (b) cell structure and</w:t>
      </w:r>
      <w:r w:rsidRPr="00E66C7C">
        <w:rPr>
          <w:rFonts w:asciiTheme="majorBidi" w:hAnsiTheme="majorBidi" w:cstheme="majorBidi"/>
          <w:sz w:val="28"/>
          <w:szCs w:val="28"/>
        </w:rPr>
        <w:t xml:space="preserve">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complexity (c) phylogenetic relationship (d) body</w:t>
      </w:r>
      <w:r w:rsidRPr="00E66C7C">
        <w:rPr>
          <w:rFonts w:asciiTheme="majorBidi" w:hAnsiTheme="majorBidi" w:cstheme="majorBidi"/>
          <w:sz w:val="28"/>
          <w:szCs w:val="28"/>
        </w:rPr>
        <w:t xml:space="preserve">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organization and (e) reproduction.</w:t>
      </w:r>
    </w:p>
    <w:p w:rsidR="00F77FD7" w:rsidRDefault="00E66C7C" w:rsidP="004E5D8D">
      <w:pPr>
        <w:spacing w:line="276" w:lineRule="auto"/>
        <w:jc w:val="both"/>
        <w:rPr>
          <w:rStyle w:val="markedcontent"/>
          <w:rFonts w:asciiTheme="majorBidi" w:hAnsiTheme="majorBidi" w:cstheme="majorBidi"/>
          <w:sz w:val="28"/>
          <w:szCs w:val="28"/>
        </w:rPr>
      </w:pP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In five kingdom system of Whittaker, different</w:t>
      </w:r>
      <w:r w:rsidR="00F77FD7">
        <w:rPr>
          <w:rStyle w:val="markedcontent"/>
          <w:rFonts w:asciiTheme="majorBidi" w:hAnsiTheme="majorBidi" w:cstheme="majorBidi"/>
          <w:sz w:val="28"/>
          <w:szCs w:val="28"/>
        </w:rPr>
        <w:t xml:space="preserve">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kingdoms are as following:</w:t>
      </w:r>
    </w:p>
    <w:p w:rsidR="00E66C7C" w:rsidRPr="00E66C7C" w:rsidRDefault="00F77FD7" w:rsidP="004E5D8D">
      <w:pPr>
        <w:spacing w:line="276" w:lineRule="auto"/>
        <w:jc w:val="both"/>
        <w:rPr>
          <w:rStyle w:val="markedcontent"/>
          <w:rFonts w:asciiTheme="majorBidi" w:hAnsiTheme="majorBidi" w:cstheme="majorBidi"/>
          <w:sz w:val="28"/>
          <w:szCs w:val="28"/>
        </w:rPr>
      </w:pP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</w:t>
      </w:r>
      <w:r w:rsidR="00E66C7C"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1. </w:t>
      </w:r>
      <w:proofErr w:type="spellStart"/>
      <w:proofErr w:type="gramStart"/>
      <w:r w:rsidR="00E66C7C" w:rsidRPr="00D06819">
        <w:rPr>
          <w:rStyle w:val="markedcontent"/>
          <w:rFonts w:asciiTheme="majorBidi" w:hAnsiTheme="majorBidi" w:cstheme="majorBidi"/>
          <w:b/>
          <w:bCs/>
          <w:sz w:val="28"/>
          <w:szCs w:val="28"/>
        </w:rPr>
        <w:t>Monera</w:t>
      </w:r>
      <w:proofErr w:type="spellEnd"/>
      <w:r w:rsidR="00E66C7C" w:rsidRPr="00D06819">
        <w:rPr>
          <w:rStyle w:val="markedcontent"/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E66C7C" w:rsidRPr="00E66C7C">
        <w:rPr>
          <w:rStyle w:val="markedcontent"/>
          <w:rFonts w:asciiTheme="majorBidi" w:hAnsiTheme="majorBidi" w:cstheme="majorBidi"/>
          <w:sz w:val="28"/>
          <w:szCs w:val="28"/>
        </w:rPr>
        <w:t>:</w:t>
      </w:r>
      <w:proofErr w:type="gramEnd"/>
      <w:r w:rsidR="00E66C7C"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Prokaryotes e.g. bacteria and</w:t>
      </w:r>
      <w:r>
        <w:rPr>
          <w:rStyle w:val="markedcontent"/>
          <w:rFonts w:asciiTheme="majorBidi" w:hAnsiTheme="majorBidi" w:cstheme="majorBidi"/>
          <w:sz w:val="28"/>
          <w:szCs w:val="28"/>
        </w:rPr>
        <w:t xml:space="preserve"> </w:t>
      </w:r>
      <w:r w:rsidR="00E66C7C" w:rsidRPr="00E66C7C">
        <w:rPr>
          <w:rStyle w:val="markedcontent"/>
          <w:rFonts w:asciiTheme="majorBidi" w:hAnsiTheme="majorBidi" w:cstheme="majorBidi"/>
          <w:sz w:val="28"/>
          <w:szCs w:val="28"/>
        </w:rPr>
        <w:t>cyanobacteria.</w:t>
      </w:r>
    </w:p>
    <w:p w:rsidR="00E66C7C" w:rsidRPr="00E66C7C" w:rsidRDefault="00E66C7C" w:rsidP="004E5D8D">
      <w:pPr>
        <w:spacing w:line="276" w:lineRule="auto"/>
        <w:jc w:val="both"/>
        <w:rPr>
          <w:rStyle w:val="markedcontent"/>
          <w:rFonts w:asciiTheme="majorBidi" w:hAnsiTheme="majorBidi" w:cstheme="majorBidi"/>
          <w:sz w:val="28"/>
          <w:szCs w:val="28"/>
        </w:rPr>
      </w:pP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2. </w:t>
      </w:r>
      <w:proofErr w:type="gramStart"/>
      <w:r w:rsidRPr="00D06819">
        <w:rPr>
          <w:rStyle w:val="markedcontent"/>
          <w:rFonts w:asciiTheme="majorBidi" w:hAnsiTheme="majorBidi" w:cstheme="majorBidi"/>
          <w:b/>
          <w:bCs/>
          <w:sz w:val="28"/>
          <w:szCs w:val="28"/>
        </w:rPr>
        <w:t>Protista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:</w:t>
      </w:r>
      <w:proofErr w:type="gramEnd"/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Unicellular eukaryotes </w:t>
      </w:r>
      <w:proofErr w:type="spellStart"/>
      <w:r w:rsidRPr="00E66C7C">
        <w:rPr>
          <w:rStyle w:val="markedcontent"/>
          <w:rFonts w:asciiTheme="majorBidi" w:hAnsiTheme="majorBidi" w:cstheme="majorBidi"/>
          <w:sz w:val="28"/>
          <w:szCs w:val="28"/>
        </w:rPr>
        <w:t>e.g.</w:t>
      </w:r>
      <w:r w:rsidR="00D32D60">
        <w:rPr>
          <w:rStyle w:val="markedcontent"/>
          <w:rFonts w:asciiTheme="majorBidi" w:hAnsiTheme="majorBidi" w:cstheme="majorBidi"/>
          <w:sz w:val="28"/>
          <w:szCs w:val="28"/>
        </w:rPr>
        <w:t>unicellular</w:t>
      </w:r>
      <w:proofErr w:type="spellEnd"/>
      <w:r w:rsidR="00D32D60">
        <w:rPr>
          <w:rStyle w:val="markedcontent"/>
          <w:rFonts w:asciiTheme="majorBidi" w:hAnsiTheme="majorBidi" w:cstheme="majorBidi"/>
          <w:sz w:val="28"/>
          <w:szCs w:val="28"/>
        </w:rPr>
        <w:t xml:space="preserve"> algae, diatoms, and protozoan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.</w:t>
      </w:r>
    </w:p>
    <w:p w:rsidR="00E66C7C" w:rsidRPr="00E66C7C" w:rsidRDefault="00E66C7C" w:rsidP="004E5D8D">
      <w:pPr>
        <w:spacing w:line="276" w:lineRule="auto"/>
        <w:jc w:val="both"/>
        <w:rPr>
          <w:rStyle w:val="markedcontent"/>
          <w:rFonts w:asciiTheme="majorBidi" w:hAnsiTheme="majorBidi" w:cstheme="majorBidi"/>
          <w:sz w:val="28"/>
          <w:szCs w:val="28"/>
        </w:rPr>
      </w:pP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3. </w:t>
      </w:r>
      <w:proofErr w:type="gramStart"/>
      <w:r w:rsidRPr="00D06819">
        <w:rPr>
          <w:rStyle w:val="markedcontent"/>
          <w:rFonts w:asciiTheme="majorBidi" w:hAnsiTheme="majorBidi" w:cstheme="majorBidi"/>
          <w:b/>
          <w:bCs/>
          <w:sz w:val="28"/>
          <w:szCs w:val="28"/>
        </w:rPr>
        <w:t>Fungi :</w:t>
      </w:r>
      <w:proofErr w:type="gramEnd"/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Multicellular decomposers e.g.</w:t>
      </w:r>
      <w:r w:rsidR="00F77FD7"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fungi and </w:t>
      </w:r>
      <w:proofErr w:type="spellStart"/>
      <w:r w:rsidRPr="00E66C7C">
        <w:rPr>
          <w:rStyle w:val="markedcontent"/>
          <w:rFonts w:asciiTheme="majorBidi" w:hAnsiTheme="majorBidi" w:cstheme="majorBidi"/>
          <w:sz w:val="28"/>
          <w:szCs w:val="28"/>
        </w:rPr>
        <w:t>moulds</w:t>
      </w:r>
      <w:proofErr w:type="spellEnd"/>
      <w:r w:rsidRPr="00E66C7C">
        <w:rPr>
          <w:rStyle w:val="markedcontent"/>
          <w:rFonts w:asciiTheme="majorBidi" w:hAnsiTheme="majorBidi" w:cstheme="majorBidi"/>
          <w:sz w:val="28"/>
          <w:szCs w:val="28"/>
        </w:rPr>
        <w:t>.</w:t>
      </w:r>
    </w:p>
    <w:p w:rsidR="00E66C7C" w:rsidRPr="00E66C7C" w:rsidRDefault="00E66C7C" w:rsidP="004E5D8D">
      <w:pPr>
        <w:spacing w:line="276" w:lineRule="auto"/>
        <w:jc w:val="both"/>
        <w:rPr>
          <w:rStyle w:val="markedcontent"/>
          <w:rFonts w:asciiTheme="majorBidi" w:hAnsiTheme="majorBidi" w:cstheme="majorBidi"/>
          <w:sz w:val="28"/>
          <w:szCs w:val="28"/>
        </w:rPr>
      </w:pP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4. </w:t>
      </w:r>
      <w:proofErr w:type="gramStart"/>
      <w:r w:rsidRPr="00D06819">
        <w:rPr>
          <w:rStyle w:val="markedcontent"/>
          <w:rFonts w:asciiTheme="majorBidi" w:hAnsiTheme="majorBidi" w:cstheme="majorBidi"/>
          <w:b/>
          <w:bCs/>
          <w:sz w:val="28"/>
          <w:szCs w:val="28"/>
        </w:rPr>
        <w:t>Plantae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:</w:t>
      </w:r>
      <w:proofErr w:type="gramEnd"/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Multicellular producers, e.g.</w:t>
      </w:r>
      <w:r w:rsidR="00F77FD7"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plants.</w:t>
      </w:r>
    </w:p>
    <w:p w:rsidR="00E66C7C" w:rsidRDefault="00E66C7C" w:rsidP="004E5D8D">
      <w:pPr>
        <w:spacing w:line="276" w:lineRule="auto"/>
        <w:jc w:val="both"/>
        <w:rPr>
          <w:rStyle w:val="markedcontent"/>
          <w:rFonts w:asciiTheme="majorBidi" w:hAnsiTheme="majorBidi" w:cstheme="majorBidi"/>
          <w:sz w:val="28"/>
          <w:szCs w:val="28"/>
          <w:rtl/>
        </w:rPr>
      </w:pPr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5. </w:t>
      </w:r>
      <w:proofErr w:type="gramStart"/>
      <w:r w:rsidRPr="00D06819">
        <w:rPr>
          <w:rStyle w:val="markedcontent"/>
          <w:rFonts w:asciiTheme="majorBidi" w:hAnsiTheme="majorBidi" w:cstheme="majorBidi"/>
          <w:b/>
          <w:bCs/>
          <w:sz w:val="28"/>
          <w:szCs w:val="28"/>
        </w:rPr>
        <w:t xml:space="preserve">Animalia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:</w:t>
      </w:r>
      <w:proofErr w:type="gramEnd"/>
      <w:r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Multicellular consumers, e.g.</w:t>
      </w:r>
      <w:r w:rsidR="00F77FD7" w:rsidRPr="00E66C7C">
        <w:rPr>
          <w:rStyle w:val="markedcontent"/>
          <w:rFonts w:asciiTheme="majorBidi" w:hAnsiTheme="majorBidi" w:cstheme="majorBidi"/>
          <w:sz w:val="28"/>
          <w:szCs w:val="28"/>
        </w:rPr>
        <w:t xml:space="preserve"> </w:t>
      </w:r>
      <w:r w:rsidRPr="00E66C7C">
        <w:rPr>
          <w:rStyle w:val="markedcontent"/>
          <w:rFonts w:asciiTheme="majorBidi" w:hAnsiTheme="majorBidi" w:cstheme="majorBidi"/>
          <w:sz w:val="28"/>
          <w:szCs w:val="28"/>
        </w:rPr>
        <w:t>animals.</w:t>
      </w:r>
    </w:p>
    <w:tbl>
      <w:tblPr>
        <w:tblpPr w:leftFromText="180" w:rightFromText="180" w:vertAnchor="text" w:horzAnchor="margin" w:tblpY="242"/>
        <w:tblW w:w="9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32"/>
      </w:tblGrid>
      <w:tr w:rsidR="00516904" w:rsidRPr="00516904" w:rsidTr="00516904">
        <w:trPr>
          <w:trHeight w:val="6792"/>
        </w:trPr>
        <w:tc>
          <w:tcPr>
            <w:tcW w:w="9432" w:type="dxa"/>
          </w:tcPr>
          <w:p w:rsidR="00516904" w:rsidRPr="007D4BD1" w:rsidRDefault="00516904" w:rsidP="004E5D8D">
            <w:pPr>
              <w:spacing w:line="240" w:lineRule="auto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D4BD1">
              <w:rPr>
                <w:rFonts w:asciiTheme="majorBidi" w:hAnsiTheme="majorBidi" w:cstheme="majorBidi"/>
                <w:sz w:val="28"/>
                <w:szCs w:val="28"/>
              </w:rPr>
              <w:lastRenderedPageBreak/>
              <w:t xml:space="preserve">The term Protista was first used by Ernst Haeckel in 1866. </w:t>
            </w:r>
            <w:proofErr w:type="spell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Protists</w:t>
            </w:r>
            <w:proofErr w:type="spell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 were traditionally subdivided into several groups based on similarities to the "higher" kingdoms such </w:t>
            </w:r>
            <w:proofErr w:type="gram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as:[</w:t>
            </w:r>
            <w:proofErr w:type="gram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6] </w:t>
            </w:r>
          </w:p>
          <w:p w:rsidR="00516904" w:rsidRPr="007D4BD1" w:rsidRDefault="00516904" w:rsidP="004E5D8D">
            <w:pPr>
              <w:spacing w:line="240" w:lineRule="auto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D4BD1">
              <w:rPr>
                <w:rFonts w:asciiTheme="majorBidi" w:hAnsiTheme="majorBidi" w:cstheme="majorBidi" w:hint="cs"/>
                <w:sz w:val="28"/>
                <w:szCs w:val="28"/>
                <w:rtl/>
              </w:rPr>
              <w:t>-1</w:t>
            </w:r>
            <w:r w:rsidRPr="007D4BD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Protozoa</w:t>
            </w:r>
          </w:p>
          <w:p w:rsidR="00516904" w:rsidRPr="007D4BD1" w:rsidRDefault="00516904" w:rsidP="004E5D8D">
            <w:pPr>
              <w:spacing w:line="240" w:lineRule="auto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    Protozoans are unicellular "animal-like" (heterotrophic, and sometimes parasitic) organisms that are further sub-divided based on characteristics such as motility, such as the (flagellated) </w:t>
            </w:r>
            <w:proofErr w:type="spell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Flagellata</w:t>
            </w:r>
            <w:proofErr w:type="spell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, the (ciliated) </w:t>
            </w:r>
            <w:proofErr w:type="spell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Ciliophora</w:t>
            </w:r>
            <w:proofErr w:type="spell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, the (phagocytic) amoeba, and the (spore-forming) </w:t>
            </w:r>
            <w:proofErr w:type="spell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Sporozoa</w:t>
            </w:r>
            <w:proofErr w:type="spell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516904" w:rsidRPr="007D4BD1" w:rsidRDefault="00516904" w:rsidP="004E5D8D">
            <w:pPr>
              <w:spacing w:line="24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7D4BD1">
              <w:rPr>
                <w:rFonts w:asciiTheme="majorBidi" w:hAnsiTheme="majorBidi" w:cstheme="majorBidi" w:hint="cs"/>
                <w:sz w:val="28"/>
                <w:szCs w:val="28"/>
                <w:rtl/>
              </w:rPr>
              <w:t>-2</w:t>
            </w:r>
            <w:proofErr w:type="spellStart"/>
            <w:r w:rsidRPr="007D4BD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Protophyta</w:t>
            </w:r>
            <w:proofErr w:type="spellEnd"/>
          </w:p>
          <w:p w:rsidR="00516904" w:rsidRPr="007D4BD1" w:rsidRDefault="00516904" w:rsidP="004E5D8D">
            <w:pPr>
              <w:spacing w:line="240" w:lineRule="auto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    </w:t>
            </w:r>
            <w:proofErr w:type="spell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Protophyta</w:t>
            </w:r>
            <w:proofErr w:type="spell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 are "plant-like" (autotrophic) organisms that are composed mostly of unicellular algae. The dinoflagellates, diatoms and Euglena-like flagellates are photosynthetic </w:t>
            </w:r>
            <w:proofErr w:type="spell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protists</w:t>
            </w:r>
            <w:proofErr w:type="spell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>.</w:t>
            </w:r>
          </w:p>
          <w:p w:rsidR="00516904" w:rsidRPr="007D4BD1" w:rsidRDefault="00516904" w:rsidP="004E5D8D">
            <w:pPr>
              <w:spacing w:line="240" w:lineRule="auto"/>
              <w:jc w:val="both"/>
              <w:rPr>
                <w:rFonts w:asciiTheme="majorBidi" w:hAnsiTheme="majorBidi" w:cstheme="majorBidi"/>
                <w:sz w:val="28"/>
                <w:szCs w:val="28"/>
              </w:rPr>
            </w:pPr>
            <w:r w:rsidRPr="007D4BD1">
              <w:rPr>
                <w:rFonts w:asciiTheme="majorBidi" w:hAnsiTheme="majorBidi" w:cstheme="majorBidi" w:hint="cs"/>
                <w:sz w:val="28"/>
                <w:szCs w:val="28"/>
                <w:rtl/>
              </w:rPr>
              <w:t>-3</w:t>
            </w:r>
            <w:r w:rsidRPr="007D4BD1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Mold</w:t>
            </w:r>
          </w:p>
          <w:p w:rsidR="00516904" w:rsidRPr="00516904" w:rsidRDefault="00516904" w:rsidP="004E5D8D">
            <w:pPr>
              <w:spacing w:line="240" w:lineRule="auto"/>
              <w:jc w:val="both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    Molds generally refer to fungi; but slime molds and water molds are "fungus-like" (saprophytic) </w:t>
            </w:r>
            <w:proofErr w:type="spellStart"/>
            <w:r w:rsidRPr="007D4BD1">
              <w:rPr>
                <w:rFonts w:asciiTheme="majorBidi" w:hAnsiTheme="majorBidi" w:cstheme="majorBidi"/>
                <w:sz w:val="28"/>
                <w:szCs w:val="28"/>
              </w:rPr>
              <w:t>protists</w:t>
            </w:r>
            <w:proofErr w:type="spellEnd"/>
            <w:r w:rsidRPr="007D4BD1">
              <w:rPr>
                <w:rFonts w:asciiTheme="majorBidi" w:hAnsiTheme="majorBidi" w:cstheme="majorBidi"/>
                <w:sz w:val="28"/>
                <w:szCs w:val="28"/>
              </w:rPr>
              <w:t xml:space="preserve">, although some are pathogens. </w:t>
            </w:r>
          </w:p>
        </w:tc>
      </w:tr>
    </w:tbl>
    <w:p w:rsidR="00E66C7C" w:rsidRDefault="00F60EF8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</w:rPr>
      </w:pPr>
      <w:proofErr w:type="spellStart"/>
      <w:r w:rsidRPr="00F60EF8">
        <w:rPr>
          <w:rFonts w:asciiTheme="majorBidi" w:hAnsiTheme="majorBidi" w:cstheme="majorBidi"/>
          <w:sz w:val="28"/>
          <w:szCs w:val="28"/>
        </w:rPr>
        <w:t>Monera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 xml:space="preserve"> are prokaryotic and virtually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unicellular,</w:t>
      </w:r>
      <w:r w:rsidR="00411BD4">
        <w:rPr>
          <w:rFonts w:asciiTheme="majorBidi" w:hAnsiTheme="majorBidi" w:cstheme="majorBidi"/>
          <w:sz w:val="28"/>
          <w:szCs w:val="28"/>
        </w:rPr>
        <w:t xml:space="preserve"> they differ from the other four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eukaryotic kingdoms. The eukaryotic unicellular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organisms were kept into the Kingdom Protista. The unicellular organisms show several types of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modes of nutrition. The three multicellular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eukaryotic kingdoms distinguish themselves by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the general manner in which they acquire food. Fungi are heterotrophs, generally break down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large organic molecules in their environment by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secreting enzymes. Plants are autotrophs and use</w:t>
      </w:r>
      <w:r w:rsidRPr="00F60EF8"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photosynthetic systems to capture energy from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sunlight. Animals are heterotrophs and acquire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nutrients by ingesting plants or other animals and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then digesting those materials. The five kingdom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system despite of having some demerits (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Verma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>, 2016a), is still widely accepted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F60EF8" w:rsidRDefault="00F60EF8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</w:rPr>
      </w:pPr>
    </w:p>
    <w:p w:rsidR="00F60EF8" w:rsidRDefault="00F60EF8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</w:rPr>
      </w:pPr>
      <w:r w:rsidRPr="00F60EF8">
        <w:rPr>
          <w:rFonts w:asciiTheme="majorBidi" w:hAnsiTheme="majorBidi" w:cstheme="majorBidi"/>
          <w:sz w:val="28"/>
          <w:szCs w:val="28"/>
        </w:rPr>
        <w:t>An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American Microbiologist,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Woese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 xml:space="preserve"> et al., (1990) adopted the term 'domain' in 1990 and introduced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three-domain system in biological classification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mainly on the basis of 16 S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rRNA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 xml:space="preserve"> genes. They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defined the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Archea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 xml:space="preserve"> by studying 16 S ribosomal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RNA in phylogenetic taxonomy. This system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adds'domain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>' as a '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superkingdom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>' a level of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lastRenderedPageBreak/>
        <w:t>classification “above” the kingdom. The three domains are: Archaea, Bacteria and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Eukarya (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Eucarya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>). The domain Archaea includes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only one kingdom Archaebacteria (ancient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bacteria), domain Bacteria also includes only one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kingdom Eubacteria (true bacteria) whereas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domain Eukarya includes remaining four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kingdoms namely Protista, Fungi, Plantae and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Animalia. The Archaea and Bacteria domains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contain prokaryotic organisms that do not have a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membrane bound nucleus while the Eukarya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domain includes eukaryotic organisms that have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a membrane bound nucleus. Thus, in this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classification system,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Woese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 xml:space="preserve"> et al., (1990) placed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all four eukaryotic kingdoms into a single domain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called Eukarya (eukaryotes). They then split the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former kingdom of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Monera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 xml:space="preserve"> into the Archaea</w:t>
      </w:r>
      <w:r w:rsidR="00411BD4" w:rsidRPr="00F60EF8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archaebacteria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>) and the Bacteria (eubacteria)</w:t>
      </w:r>
      <w:r w:rsidR="00411BD4" w:rsidRPr="00F60EF8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domains. They appropriately placed most of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the'unusual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>' prokaryotes in the Archaea, leaving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traditional bacteria in the Eubacteria. This is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consistent with recent discoveries of more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diversity among microbes than animals and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plants that makes this system relevant (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Verma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>,</w:t>
      </w:r>
      <w:r w:rsidR="00411BD4" w:rsidRPr="00F60EF8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>2016b). A comparison between the five and six</w:t>
      </w:r>
      <w:r w:rsidR="00411BD4">
        <w:rPr>
          <w:rFonts w:asciiTheme="majorBidi" w:hAnsiTheme="majorBidi" w:cstheme="majorBidi"/>
          <w:sz w:val="28"/>
          <w:szCs w:val="28"/>
        </w:rPr>
        <w:t xml:space="preserve"> </w:t>
      </w:r>
      <w:r w:rsidRPr="00F60EF8">
        <w:rPr>
          <w:rFonts w:asciiTheme="majorBidi" w:hAnsiTheme="majorBidi" w:cstheme="majorBidi"/>
          <w:sz w:val="28"/>
          <w:szCs w:val="28"/>
        </w:rPr>
        <w:t xml:space="preserve">kingdom systems is given by </w:t>
      </w:r>
      <w:proofErr w:type="spellStart"/>
      <w:r w:rsidRPr="00F60EF8">
        <w:rPr>
          <w:rFonts w:asciiTheme="majorBidi" w:hAnsiTheme="majorBidi" w:cstheme="majorBidi"/>
          <w:sz w:val="28"/>
          <w:szCs w:val="28"/>
        </w:rPr>
        <w:t>Verma</w:t>
      </w:r>
      <w:proofErr w:type="spellEnd"/>
      <w:r w:rsidRPr="00F60EF8">
        <w:rPr>
          <w:rFonts w:asciiTheme="majorBidi" w:hAnsiTheme="majorBidi" w:cstheme="majorBidi"/>
          <w:sz w:val="28"/>
          <w:szCs w:val="28"/>
        </w:rPr>
        <w:t xml:space="preserve"> (2017a)</w:t>
      </w:r>
      <w:r w:rsidR="00411BD4">
        <w:rPr>
          <w:rFonts w:asciiTheme="majorBidi" w:hAnsiTheme="majorBidi" w:cstheme="majorBidi"/>
          <w:sz w:val="28"/>
          <w:szCs w:val="28"/>
        </w:rPr>
        <w:t xml:space="preserve">. </w:t>
      </w:r>
    </w:p>
    <w:p w:rsidR="00F60EF8" w:rsidRDefault="00D06819" w:rsidP="004E5D8D">
      <w:pPr>
        <w:spacing w:line="276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06819">
        <w:rPr>
          <w:rFonts w:asciiTheme="majorBidi" w:hAnsiTheme="majorBidi" w:cstheme="majorBidi"/>
          <w:b/>
          <w:bCs/>
          <w:sz w:val="28"/>
          <w:szCs w:val="28"/>
        </w:rPr>
        <w:t>Archaebacteria</w:t>
      </w:r>
      <w:r w:rsidR="00381907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381907">
        <w:rPr>
          <w:rFonts w:asciiTheme="majorBidi" w:hAnsiTheme="majorBidi" w:cstheme="majorBidi"/>
          <w:b/>
          <w:bCs/>
          <w:sz w:val="28"/>
          <w:szCs w:val="28"/>
        </w:rPr>
        <w:t>and Bacteria</w:t>
      </w:r>
    </w:p>
    <w:p w:rsidR="00523238" w:rsidRDefault="00523238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</w:rPr>
      </w:pPr>
      <w:r w:rsidRPr="00013694">
        <w:rPr>
          <w:rFonts w:asciiTheme="majorBidi" w:hAnsiTheme="majorBidi" w:cstheme="majorBidi"/>
          <w:sz w:val="28"/>
          <w:szCs w:val="28"/>
        </w:rPr>
        <w:t xml:space="preserve">The members of the Archaea and Bacteria are united in </w:t>
      </w:r>
      <w:proofErr w:type="spellStart"/>
      <w:proofErr w:type="gramStart"/>
      <w:r w:rsidRPr="00013694">
        <w:rPr>
          <w:rFonts w:asciiTheme="majorBidi" w:hAnsiTheme="majorBidi" w:cstheme="majorBidi"/>
          <w:sz w:val="28"/>
          <w:szCs w:val="28"/>
        </w:rPr>
        <w:t>the“</w:t>
      </w:r>
      <w:proofErr w:type="gramEnd"/>
      <w:r w:rsidRPr="00013694">
        <w:rPr>
          <w:rFonts w:asciiTheme="majorBidi" w:hAnsiTheme="majorBidi" w:cstheme="majorBidi"/>
          <w:sz w:val="28"/>
          <w:szCs w:val="28"/>
        </w:rPr>
        <w:t>realm</w:t>
      </w:r>
      <w:proofErr w:type="spellEnd"/>
      <w:r w:rsidRPr="00013694">
        <w:rPr>
          <w:rFonts w:asciiTheme="majorBidi" w:hAnsiTheme="majorBidi" w:cstheme="majorBidi"/>
          <w:sz w:val="28"/>
          <w:szCs w:val="28"/>
        </w:rPr>
        <w:t xml:space="preserve"> of prokaryotes” by similar general cell sizes, the lack of a nuclear membrane and organelles, and the presence of a large circular chromosome occasionally accompanied  by one or more smaller circular DNA plasmids.</w:t>
      </w:r>
    </w:p>
    <w:p w:rsidR="0034363F" w:rsidRDefault="0034363F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57E0974B" wp14:editId="437AAADA">
            <wp:extent cx="5943600" cy="4770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9A72EE">
      <w:pPr>
        <w:spacing w:line="276" w:lineRule="auto"/>
        <w:jc w:val="center"/>
        <w:rPr>
          <w:rFonts w:asciiTheme="majorBidi" w:hAnsiTheme="majorBidi" w:cstheme="majorBidi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082C965A" wp14:editId="181A4CC7">
            <wp:extent cx="54102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lang w:bidi="fa-IR"/>
        </w:rPr>
      </w:pPr>
    </w:p>
    <w:p w:rsidR="009A72EE" w:rsidRPr="00013694" w:rsidRDefault="009A72EE" w:rsidP="004E5D8D">
      <w:pPr>
        <w:spacing w:line="276" w:lineRule="auto"/>
        <w:jc w:val="both"/>
        <w:rPr>
          <w:rFonts w:asciiTheme="majorBidi" w:hAnsiTheme="majorBidi" w:cstheme="majorBidi"/>
          <w:sz w:val="28"/>
          <w:szCs w:val="28"/>
          <w:rtl/>
          <w:lang w:bidi="fa-IR"/>
        </w:rPr>
      </w:pPr>
    </w:p>
    <w:sectPr w:rsidR="009A72EE" w:rsidRPr="00013694" w:rsidSect="004E5D8D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4A8A" w:rsidRDefault="007D4A8A" w:rsidP="004E5D8D">
      <w:pPr>
        <w:spacing w:after="0" w:line="240" w:lineRule="auto"/>
      </w:pPr>
      <w:r>
        <w:separator/>
      </w:r>
    </w:p>
  </w:endnote>
  <w:endnote w:type="continuationSeparator" w:id="0">
    <w:p w:rsidR="007D4A8A" w:rsidRDefault="007D4A8A" w:rsidP="004E5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869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5D8D" w:rsidRDefault="004E5D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453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4E5D8D" w:rsidRDefault="004E5D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4A8A" w:rsidRDefault="007D4A8A" w:rsidP="004E5D8D">
      <w:pPr>
        <w:spacing w:after="0" w:line="240" w:lineRule="auto"/>
      </w:pPr>
      <w:r>
        <w:separator/>
      </w:r>
    </w:p>
  </w:footnote>
  <w:footnote w:type="continuationSeparator" w:id="0">
    <w:p w:rsidR="007D4A8A" w:rsidRDefault="007D4A8A" w:rsidP="004E5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378"/>
    <w:rsid w:val="00013694"/>
    <w:rsid w:val="000F71D9"/>
    <w:rsid w:val="00100558"/>
    <w:rsid w:val="00112094"/>
    <w:rsid w:val="00281A30"/>
    <w:rsid w:val="002B44F0"/>
    <w:rsid w:val="0034363F"/>
    <w:rsid w:val="00381907"/>
    <w:rsid w:val="00411BD4"/>
    <w:rsid w:val="004C2378"/>
    <w:rsid w:val="004E5D8D"/>
    <w:rsid w:val="00516904"/>
    <w:rsid w:val="00523238"/>
    <w:rsid w:val="0056013F"/>
    <w:rsid w:val="006829D2"/>
    <w:rsid w:val="00746289"/>
    <w:rsid w:val="007D4A8A"/>
    <w:rsid w:val="007D4BD1"/>
    <w:rsid w:val="00974531"/>
    <w:rsid w:val="009A72EE"/>
    <w:rsid w:val="009D1A60"/>
    <w:rsid w:val="00D06819"/>
    <w:rsid w:val="00D32D60"/>
    <w:rsid w:val="00E01AD2"/>
    <w:rsid w:val="00E17849"/>
    <w:rsid w:val="00E66C7C"/>
    <w:rsid w:val="00EF2765"/>
    <w:rsid w:val="00F60EF8"/>
    <w:rsid w:val="00F77FD7"/>
    <w:rsid w:val="00F81AA5"/>
    <w:rsid w:val="00FB3521"/>
    <w:rsid w:val="00FF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84D504-594E-4113-8962-20C354F9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E66C7C"/>
  </w:style>
  <w:style w:type="paragraph" w:styleId="Header">
    <w:name w:val="header"/>
    <w:basedOn w:val="Normal"/>
    <w:link w:val="HeaderChar"/>
    <w:uiPriority w:val="99"/>
    <w:unhideWhenUsed/>
    <w:rsid w:val="004E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D8D"/>
  </w:style>
  <w:style w:type="paragraph" w:styleId="Footer">
    <w:name w:val="footer"/>
    <w:basedOn w:val="Normal"/>
    <w:link w:val="FooterChar"/>
    <w:uiPriority w:val="99"/>
    <w:unhideWhenUsed/>
    <w:rsid w:val="004E5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10</Pages>
  <Words>902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2023-02-10T12:27:00Z</dcterms:created>
  <dcterms:modified xsi:type="dcterms:W3CDTF">2023-02-18T08:29:00Z</dcterms:modified>
</cp:coreProperties>
</file>