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5C09D5" w14:textId="77777777" w:rsidR="00816E01" w:rsidRPr="00816E01" w:rsidRDefault="00816E01" w:rsidP="00816E01">
      <w:pPr>
        <w:rPr>
          <w:rFonts w:ascii="Palatino" w:hAnsi="Palatino"/>
        </w:rPr>
      </w:pPr>
      <w:r w:rsidRPr="00816E01">
        <w:rPr>
          <w:rFonts w:ascii="Palatino" w:hAnsi="Palatino"/>
        </w:rPr>
        <w:t xml:space="preserve">The chapter addresses the central question of whether CBPR, which actively involves community members in all research stages, can be both scientifically rigorous and </w:t>
      </w:r>
      <w:proofErr w:type="gramStart"/>
      <w:r w:rsidRPr="00816E01">
        <w:rPr>
          <w:rFonts w:ascii="Palatino" w:hAnsi="Palatino"/>
        </w:rPr>
        <w:t>community-relevant</w:t>
      </w:r>
      <w:proofErr w:type="gramEnd"/>
      <w:r w:rsidRPr="00816E01">
        <w:rPr>
          <w:rFonts w:ascii="Palatino" w:hAnsi="Palatino"/>
        </w:rPr>
        <w:t>. It argues that while CBPR presents unique methodological challenges, it offers significant advantages in terms of authenticity and relevance, ultimately serving the public health agenda by improving the science upon which it is based. The chapter systematically walks through the research process, explaining how CBPR impacts each step and how to navigate the balance between scientific rigor and community partnership.</w:t>
      </w:r>
    </w:p>
    <w:p w14:paraId="61F1FED4" w14:textId="77777777" w:rsidR="00816E01" w:rsidRPr="00816E01" w:rsidRDefault="00816E01" w:rsidP="00816E01">
      <w:pPr>
        <w:rPr>
          <w:rFonts w:ascii="Palatino" w:hAnsi="Palatino"/>
        </w:rPr>
      </w:pPr>
    </w:p>
    <w:p w14:paraId="1BC9EBAD" w14:textId="77777777" w:rsidR="00816E01" w:rsidRPr="00816E01" w:rsidRDefault="00816E01" w:rsidP="00816E01">
      <w:pPr>
        <w:rPr>
          <w:rFonts w:ascii="Palatino" w:hAnsi="Palatino"/>
        </w:rPr>
      </w:pPr>
      <w:r w:rsidRPr="00816E01">
        <w:rPr>
          <w:rFonts w:ascii="Palatino" w:hAnsi="Palatino"/>
        </w:rPr>
        <w:t>Detailed Breakdown of Key Themes</w:t>
      </w:r>
    </w:p>
    <w:p w14:paraId="2C630B77" w14:textId="77777777" w:rsidR="00816E01" w:rsidRPr="00816E01" w:rsidRDefault="00816E01" w:rsidP="00816E01">
      <w:pPr>
        <w:rPr>
          <w:rFonts w:ascii="Palatino" w:hAnsi="Palatino"/>
        </w:rPr>
      </w:pPr>
      <w:r w:rsidRPr="00816E01">
        <w:rPr>
          <w:rFonts w:ascii="Palatino" w:hAnsi="Palatino"/>
        </w:rPr>
        <w:t>1. Advantages and Challenges of CBPR</w:t>
      </w:r>
    </w:p>
    <w:p w14:paraId="2C8B4E55" w14:textId="6AD28017" w:rsidR="00816E01" w:rsidRPr="00816E01" w:rsidRDefault="00816E01" w:rsidP="00816E01">
      <w:pPr>
        <w:rPr>
          <w:rFonts w:ascii="Palatino" w:hAnsi="Palatino"/>
        </w:rPr>
      </w:pPr>
      <w:r w:rsidRPr="00816E01">
        <w:rPr>
          <w:rFonts w:ascii="Palatino" w:hAnsi="Palatino"/>
        </w:rPr>
        <w:t>Advantages:</w:t>
      </w:r>
    </w:p>
    <w:p w14:paraId="3F8C501C" w14:textId="2888DEA1" w:rsidR="00816E01" w:rsidRPr="00816E01" w:rsidRDefault="00816E01" w:rsidP="00816E01">
      <w:pPr>
        <w:rPr>
          <w:rFonts w:ascii="Palatino" w:hAnsi="Palatino"/>
        </w:rPr>
      </w:pPr>
      <w:r w:rsidRPr="00816E01">
        <w:rPr>
          <w:rFonts w:ascii="Palatino" w:hAnsi="Palatino"/>
        </w:rPr>
        <w:t xml:space="preserve">Enhanced Validity and Authenticity: CBPR improves authenticity—the extent to which the research reflects the various perspectives of participants. This is achieved through </w:t>
      </w:r>
      <w:proofErr w:type="spellStart"/>
      <w:r w:rsidRPr="00816E01">
        <w:rPr>
          <w:rFonts w:ascii="Palatino" w:hAnsi="Palatino"/>
        </w:rPr>
        <w:t>colearning</w:t>
      </w:r>
      <w:proofErr w:type="spellEnd"/>
      <w:r w:rsidRPr="00816E01">
        <w:rPr>
          <w:rFonts w:ascii="Palatino" w:hAnsi="Palatino"/>
        </w:rPr>
        <w:t>, where researchers and community partners educate each other.</w:t>
      </w:r>
    </w:p>
    <w:p w14:paraId="21841052" w14:textId="25D18C19" w:rsidR="00816E01" w:rsidRPr="00816E01" w:rsidRDefault="00816E01" w:rsidP="00816E01">
      <w:pPr>
        <w:rPr>
          <w:rFonts w:ascii="Palatino" w:hAnsi="Palatino"/>
        </w:rPr>
      </w:pPr>
      <w:r w:rsidRPr="00816E01">
        <w:rPr>
          <w:rFonts w:ascii="Palatino" w:hAnsi="Palatino"/>
        </w:rPr>
        <w:t>Relevance: Research questions are timely and critically important to the community, ensuring the findings are applicable and useful locally (e.g., the Everett example on ICE and immigrant health).</w:t>
      </w:r>
    </w:p>
    <w:p w14:paraId="6A5EAE2E" w14:textId="73466691" w:rsidR="00816E01" w:rsidRPr="00816E01" w:rsidRDefault="00816E01" w:rsidP="00816E01">
      <w:pPr>
        <w:rPr>
          <w:rFonts w:ascii="Palatino" w:hAnsi="Palatino"/>
        </w:rPr>
      </w:pPr>
      <w:r w:rsidRPr="00816E01">
        <w:rPr>
          <w:rFonts w:ascii="Palatino" w:hAnsi="Palatino"/>
        </w:rPr>
        <w:t>Multidisciplinary Problem-Solving: Brings together diverse knowledge and skills from across the community-academic continuum.</w:t>
      </w:r>
    </w:p>
    <w:p w14:paraId="223C529D" w14:textId="72F86B1A" w:rsidR="00816E01" w:rsidRPr="00816E01" w:rsidRDefault="00816E01" w:rsidP="00816E01">
      <w:pPr>
        <w:rPr>
          <w:rFonts w:ascii="Palatino" w:hAnsi="Palatino"/>
        </w:rPr>
      </w:pPr>
      <w:r w:rsidRPr="00816E01">
        <w:rPr>
          <w:rFonts w:ascii="Palatino" w:hAnsi="Palatino"/>
        </w:rPr>
        <w:t>Challenges:</w:t>
      </w:r>
    </w:p>
    <w:p w14:paraId="71589569" w14:textId="3F31C459" w:rsidR="00816E01" w:rsidRPr="00816E01" w:rsidRDefault="00816E01" w:rsidP="00816E01">
      <w:pPr>
        <w:rPr>
          <w:rFonts w:ascii="Palatino" w:hAnsi="Palatino"/>
        </w:rPr>
      </w:pPr>
      <w:r w:rsidRPr="00816E01">
        <w:rPr>
          <w:rFonts w:ascii="Palatino" w:hAnsi="Palatino"/>
        </w:rPr>
        <w:t>Threats to Generalizability: Because the work is locally based, there may be questions about its external validity (applicability to other populations/settings).</w:t>
      </w:r>
    </w:p>
    <w:p w14:paraId="6E68E3A3" w14:textId="77777777" w:rsidR="00816E01" w:rsidRPr="00816E01" w:rsidRDefault="00816E01" w:rsidP="00816E01">
      <w:pPr>
        <w:rPr>
          <w:rFonts w:ascii="Palatino" w:hAnsi="Palatino"/>
        </w:rPr>
      </w:pPr>
      <w:r w:rsidRPr="00816E01">
        <w:rPr>
          <w:rFonts w:ascii="Palatino" w:hAnsi="Palatino"/>
        </w:rPr>
        <w:t>Methodological Conflicts: The preferred methods of community partners (often focused on immediate action) may conflict with the rigorous, controlled methods preferred by researchers (focused on generalizable knowledge).</w:t>
      </w:r>
    </w:p>
    <w:p w14:paraId="48F1E637" w14:textId="77777777" w:rsidR="00816E01" w:rsidRPr="00816E01" w:rsidRDefault="00816E01" w:rsidP="00816E01">
      <w:pPr>
        <w:rPr>
          <w:rFonts w:ascii="Palatino" w:hAnsi="Palatino"/>
        </w:rPr>
      </w:pPr>
    </w:p>
    <w:p w14:paraId="0319AB85" w14:textId="77777777" w:rsidR="00816E01" w:rsidRPr="00816E01" w:rsidRDefault="00816E01" w:rsidP="00816E01">
      <w:pPr>
        <w:rPr>
          <w:rFonts w:ascii="Palatino" w:hAnsi="Palatino"/>
        </w:rPr>
      </w:pPr>
      <w:r w:rsidRPr="00816E01">
        <w:rPr>
          <w:rFonts w:ascii="Palatino" w:hAnsi="Palatino"/>
        </w:rPr>
        <w:t>2. The Research Process in CBPR</w:t>
      </w:r>
    </w:p>
    <w:p w14:paraId="42F93873" w14:textId="6ED9B984" w:rsidR="00816E01" w:rsidRPr="00816E01" w:rsidRDefault="00816E01" w:rsidP="00816E01">
      <w:pPr>
        <w:rPr>
          <w:rFonts w:ascii="Palatino" w:hAnsi="Palatino"/>
        </w:rPr>
      </w:pPr>
      <w:r w:rsidRPr="00816E01">
        <w:rPr>
          <w:rFonts w:ascii="Palatino" w:hAnsi="Palatino"/>
        </w:rPr>
        <w:t xml:space="preserve">The chapter uses Schutt's "Research Circle" (Theory </w:t>
      </w:r>
      <w:r w:rsidRPr="00816E01">
        <w:rPr>
          <w:rFonts w:ascii="Times New Roman" w:hAnsi="Times New Roman" w:cs="Times New Roman"/>
        </w:rPr>
        <w:t>→</w:t>
      </w:r>
      <w:r w:rsidRPr="00816E01">
        <w:rPr>
          <w:rFonts w:ascii="Palatino" w:hAnsi="Palatino"/>
        </w:rPr>
        <w:t xml:space="preserve"> Hypotheses </w:t>
      </w:r>
      <w:r w:rsidRPr="00816E01">
        <w:rPr>
          <w:rFonts w:ascii="Times New Roman" w:hAnsi="Times New Roman" w:cs="Times New Roman"/>
        </w:rPr>
        <w:t>→</w:t>
      </w:r>
      <w:r w:rsidRPr="00816E01">
        <w:rPr>
          <w:rFonts w:ascii="Palatino" w:hAnsi="Palatino"/>
        </w:rPr>
        <w:t xml:space="preserve"> Data Collection </w:t>
      </w:r>
      <w:r w:rsidRPr="00816E01">
        <w:rPr>
          <w:rFonts w:ascii="Times New Roman" w:hAnsi="Times New Roman" w:cs="Times New Roman"/>
        </w:rPr>
        <w:t>→</w:t>
      </w:r>
      <w:r w:rsidRPr="00816E01">
        <w:rPr>
          <w:rFonts w:ascii="Palatino" w:hAnsi="Palatino"/>
        </w:rPr>
        <w:t xml:space="preserve"> Analysis) but emphasizes that community participation adds a layer of complexity to each step.</w:t>
      </w:r>
    </w:p>
    <w:p w14:paraId="486E3979" w14:textId="31AEEC13" w:rsidR="00816E01" w:rsidRPr="00816E01" w:rsidRDefault="00816E01" w:rsidP="00816E01">
      <w:pPr>
        <w:rPr>
          <w:rFonts w:ascii="Palatino" w:hAnsi="Palatino"/>
        </w:rPr>
      </w:pPr>
      <w:r w:rsidRPr="00816E01">
        <w:rPr>
          <w:rFonts w:ascii="Palatino" w:hAnsi="Palatino"/>
        </w:rPr>
        <w:t xml:space="preserve">The Research Question: The process is collaborative. Community partners bring broad, pressing concerns, while researchers contribute knowledge of existing literature. Together, they refine a question that is both scientifically interesting and </w:t>
      </w:r>
      <w:proofErr w:type="gramStart"/>
      <w:r w:rsidRPr="00816E01">
        <w:rPr>
          <w:rFonts w:ascii="Palatino" w:hAnsi="Palatino"/>
        </w:rPr>
        <w:t>community-</w:t>
      </w:r>
      <w:r w:rsidRPr="00816E01">
        <w:rPr>
          <w:rFonts w:ascii="Palatino" w:hAnsi="Palatino"/>
        </w:rPr>
        <w:lastRenderedPageBreak/>
        <w:t>relevant</w:t>
      </w:r>
      <w:proofErr w:type="gramEnd"/>
      <w:r w:rsidRPr="00816E01">
        <w:rPr>
          <w:rFonts w:ascii="Palatino" w:hAnsi="Palatino"/>
        </w:rPr>
        <w:t>. The Everett example shows how a broad concern ("Does ICE impact immigrant health?") was refined into specific, testable questions and hypotheses.</w:t>
      </w:r>
    </w:p>
    <w:p w14:paraId="5317E1BF" w14:textId="1EA356C4" w:rsidR="00816E01" w:rsidRPr="00816E01" w:rsidRDefault="00816E01" w:rsidP="00816E01">
      <w:pPr>
        <w:rPr>
          <w:rFonts w:ascii="Palatino" w:hAnsi="Palatino"/>
        </w:rPr>
      </w:pPr>
      <w:r w:rsidRPr="00816E01">
        <w:rPr>
          <w:rFonts w:ascii="Palatino" w:hAnsi="Palatino"/>
        </w:rPr>
        <w:t>Conceptual Models and Theorizing: Developing a visual conceptual framework is a powerful tool for collaboration. It helps translate community knowledge and lived experience into a testable model. The Everett example brilliantly shows how the researchers' initial model (Figure 3.2) was significantly revised by community input to include a critical new factor—lacking a driver's license (Figure 3.3).</w:t>
      </w:r>
    </w:p>
    <w:p w14:paraId="625D39AF" w14:textId="7B446A14" w:rsidR="00816E01" w:rsidRPr="00816E01" w:rsidRDefault="00816E01" w:rsidP="00816E01">
      <w:pPr>
        <w:rPr>
          <w:rFonts w:ascii="Palatino" w:hAnsi="Palatino"/>
        </w:rPr>
      </w:pPr>
      <w:r w:rsidRPr="00816E01">
        <w:rPr>
          <w:rFonts w:ascii="Palatino" w:hAnsi="Palatino"/>
        </w:rPr>
        <w:t>Choice of Methods: The choice must be a joint decision, balancing scientific rigor with community acceptability and feasibility.</w:t>
      </w:r>
    </w:p>
    <w:p w14:paraId="2D7ADD65" w14:textId="77777777" w:rsidR="00816E01" w:rsidRPr="00816E01" w:rsidRDefault="00816E01" w:rsidP="00816E01">
      <w:pPr>
        <w:rPr>
          <w:rFonts w:ascii="Palatino" w:hAnsi="Palatino"/>
        </w:rPr>
      </w:pPr>
      <w:r w:rsidRPr="00816E01">
        <w:rPr>
          <w:rFonts w:ascii="Palatino" w:hAnsi="Palatino"/>
        </w:rPr>
        <w:t>Nonexperimental Methods (e.g., focus groups, surveys, interviews) are more common in CBPR as they are easily adaptable to participatory approaches and allow for community capacity building.</w:t>
      </w:r>
    </w:p>
    <w:p w14:paraId="5D8C37F8" w14:textId="77777777" w:rsidR="00816E01" w:rsidRPr="00816E01" w:rsidRDefault="00816E01" w:rsidP="00816E01">
      <w:pPr>
        <w:rPr>
          <w:rFonts w:ascii="Palatino" w:hAnsi="Palatino"/>
        </w:rPr>
      </w:pPr>
    </w:p>
    <w:p w14:paraId="674BFB7C" w14:textId="77777777" w:rsidR="00816E01" w:rsidRPr="00816E01" w:rsidRDefault="00816E01" w:rsidP="00816E01">
      <w:pPr>
        <w:rPr>
          <w:rFonts w:ascii="Palatino" w:hAnsi="Palatino"/>
        </w:rPr>
      </w:pPr>
      <w:r w:rsidRPr="00816E01">
        <w:rPr>
          <w:rFonts w:ascii="Palatino" w:hAnsi="Palatino"/>
        </w:rPr>
        <w:t>Evaluation Research &amp; Logic Models: CBPR often aligns with evaluation research. Using a logic model (Figure 3.5) is a practical way to map out a program's theory of change and identify measurable outcomes with community partners. This supports a continuous "Plan Do Study Act" cycle for process improvement (Figure 3.6).</w:t>
      </w:r>
    </w:p>
    <w:p w14:paraId="68FBAE71" w14:textId="77777777" w:rsidR="00816E01" w:rsidRPr="00816E01" w:rsidRDefault="00816E01" w:rsidP="00816E01">
      <w:pPr>
        <w:rPr>
          <w:rFonts w:ascii="Palatino" w:hAnsi="Palatino"/>
        </w:rPr>
      </w:pPr>
    </w:p>
    <w:p w14:paraId="1A60228F" w14:textId="77777777" w:rsidR="00816E01" w:rsidRPr="00816E01" w:rsidRDefault="00816E01" w:rsidP="00816E01">
      <w:pPr>
        <w:rPr>
          <w:rFonts w:ascii="Palatino" w:hAnsi="Palatino"/>
        </w:rPr>
      </w:pPr>
      <w:r w:rsidRPr="00816E01">
        <w:rPr>
          <w:rFonts w:ascii="Palatino" w:hAnsi="Palatino"/>
        </w:rPr>
        <w:t>Sampling: Community partners are crucial for successful recruitment but may not initially understand concepts like sampling bias. A key researcher role is to build community capacity by explaining why rigorous sampling and documentation (e.g., tracking refusals) are essential for sample generalizability.</w:t>
      </w:r>
    </w:p>
    <w:p w14:paraId="751A84F0" w14:textId="77777777" w:rsidR="00816E01" w:rsidRPr="00816E01" w:rsidRDefault="00816E01" w:rsidP="00816E01">
      <w:pPr>
        <w:rPr>
          <w:rFonts w:ascii="Palatino" w:hAnsi="Palatino"/>
        </w:rPr>
      </w:pPr>
    </w:p>
    <w:p w14:paraId="156AE5D9" w14:textId="77777777" w:rsidR="00816E01" w:rsidRPr="00816E01" w:rsidRDefault="00816E01" w:rsidP="00816E01">
      <w:pPr>
        <w:rPr>
          <w:rFonts w:ascii="Palatino" w:hAnsi="Palatino"/>
        </w:rPr>
      </w:pPr>
      <w:r w:rsidRPr="00816E01">
        <w:rPr>
          <w:rFonts w:ascii="Palatino" w:hAnsi="Palatino"/>
        </w:rPr>
        <w:t>Design Considerations: This is where the tension between rigor and relevance is most acute.</w:t>
      </w:r>
    </w:p>
    <w:p w14:paraId="410076A5" w14:textId="77777777" w:rsidR="00816E01" w:rsidRPr="00816E01" w:rsidRDefault="00816E01" w:rsidP="00816E01">
      <w:pPr>
        <w:rPr>
          <w:rFonts w:ascii="Palatino" w:hAnsi="Palatino"/>
        </w:rPr>
      </w:pPr>
    </w:p>
    <w:p w14:paraId="49D4765A" w14:textId="77777777" w:rsidR="00816E01" w:rsidRPr="00816E01" w:rsidRDefault="00816E01" w:rsidP="00816E01">
      <w:pPr>
        <w:rPr>
          <w:rFonts w:ascii="Palatino" w:hAnsi="Palatino"/>
        </w:rPr>
      </w:pPr>
      <w:r w:rsidRPr="00816E01">
        <w:rPr>
          <w:rFonts w:ascii="Palatino" w:hAnsi="Palatino"/>
        </w:rPr>
        <w:t>Experimental Designs (RCTs) are rare in CBPR. Communities often find it unethical to withhold a potentially beneficial intervention from a control group. They are also complex, require high levels of control, and may not be feasible in a flexible CBPR context.</w:t>
      </w:r>
    </w:p>
    <w:p w14:paraId="76CD2F70" w14:textId="77777777" w:rsidR="00816E01" w:rsidRPr="00816E01" w:rsidRDefault="00816E01" w:rsidP="00816E01">
      <w:pPr>
        <w:rPr>
          <w:rFonts w:ascii="Palatino" w:hAnsi="Palatino"/>
        </w:rPr>
      </w:pPr>
    </w:p>
    <w:p w14:paraId="38A1C63C" w14:textId="77777777" w:rsidR="00816E01" w:rsidRPr="00816E01" w:rsidRDefault="00816E01" w:rsidP="00816E01">
      <w:pPr>
        <w:rPr>
          <w:rFonts w:ascii="Palatino" w:hAnsi="Palatino"/>
        </w:rPr>
      </w:pPr>
      <w:r w:rsidRPr="00816E01">
        <w:rPr>
          <w:rFonts w:ascii="Palatino" w:hAnsi="Palatino"/>
        </w:rPr>
        <w:t>Alternatives: The chapter suggests more acceptable designs like cluster randomization (randomizing groups, not individuals) or delayed intervention designs (where the control group receives the intervention later).</w:t>
      </w:r>
    </w:p>
    <w:p w14:paraId="313ED107" w14:textId="77777777" w:rsidR="00816E01" w:rsidRPr="00816E01" w:rsidRDefault="00816E01" w:rsidP="00816E01">
      <w:pPr>
        <w:rPr>
          <w:rFonts w:ascii="Palatino" w:hAnsi="Palatino"/>
        </w:rPr>
      </w:pPr>
    </w:p>
    <w:p w14:paraId="51E5BC3A" w14:textId="77777777" w:rsidR="00816E01" w:rsidRPr="00816E01" w:rsidRDefault="00816E01" w:rsidP="00816E01">
      <w:pPr>
        <w:rPr>
          <w:rFonts w:ascii="Palatino" w:hAnsi="Palatino"/>
        </w:rPr>
      </w:pPr>
      <w:r w:rsidRPr="00816E01">
        <w:rPr>
          <w:rFonts w:ascii="Palatino" w:hAnsi="Palatino"/>
        </w:rPr>
        <w:lastRenderedPageBreak/>
        <w:t>3. The Evolution of Partnerships</w:t>
      </w:r>
    </w:p>
    <w:p w14:paraId="7572F03B" w14:textId="77777777" w:rsidR="00816E01" w:rsidRPr="00816E01" w:rsidRDefault="00816E01" w:rsidP="00816E01">
      <w:pPr>
        <w:rPr>
          <w:rFonts w:ascii="Palatino" w:hAnsi="Palatino"/>
        </w:rPr>
      </w:pPr>
      <w:r w:rsidRPr="00816E01">
        <w:rPr>
          <w:rFonts w:ascii="Palatino" w:hAnsi="Palatino"/>
        </w:rPr>
        <w:t xml:space="preserve">The chapter concludes that methodological rigor can evolve with the partnership. As trust builds and community partners become more familiar with research concepts, they may be more open to complex designs. The ongoing </w:t>
      </w:r>
      <w:proofErr w:type="spellStart"/>
      <w:r w:rsidRPr="00816E01">
        <w:rPr>
          <w:rFonts w:ascii="Palatino" w:hAnsi="Palatino"/>
        </w:rPr>
        <w:t>colearning</w:t>
      </w:r>
      <w:proofErr w:type="spellEnd"/>
      <w:r w:rsidRPr="00816E01">
        <w:rPr>
          <w:rFonts w:ascii="Palatino" w:hAnsi="Palatino"/>
        </w:rPr>
        <w:t xml:space="preserve"> process builds capacity on both sides, leading to stronger, more enduring partnerships and more impactful research.</w:t>
      </w:r>
    </w:p>
    <w:p w14:paraId="55770E9A" w14:textId="77777777" w:rsidR="00816E01" w:rsidRPr="00816E01" w:rsidRDefault="00816E01" w:rsidP="00816E01">
      <w:pPr>
        <w:rPr>
          <w:rFonts w:ascii="Palatino" w:hAnsi="Palatino"/>
        </w:rPr>
      </w:pPr>
    </w:p>
    <w:p w14:paraId="53781DDC" w14:textId="77777777" w:rsidR="00816E01" w:rsidRPr="00816E01" w:rsidRDefault="00816E01" w:rsidP="00816E01">
      <w:pPr>
        <w:rPr>
          <w:rFonts w:ascii="Palatino" w:hAnsi="Palatino"/>
        </w:rPr>
      </w:pPr>
      <w:r w:rsidRPr="00816E01">
        <w:rPr>
          <w:rFonts w:ascii="Palatino" w:hAnsi="Palatino"/>
        </w:rPr>
        <w:t>Answers to the Posed Introductory Questions</w:t>
      </w:r>
    </w:p>
    <w:p w14:paraId="421E5AB0" w14:textId="77777777" w:rsidR="00816E01" w:rsidRPr="00816E01" w:rsidRDefault="00816E01" w:rsidP="00816E01">
      <w:pPr>
        <w:rPr>
          <w:rFonts w:ascii="Palatino" w:hAnsi="Palatino"/>
        </w:rPr>
      </w:pPr>
      <w:r w:rsidRPr="00816E01">
        <w:rPr>
          <w:rFonts w:ascii="Palatino" w:hAnsi="Palatino"/>
        </w:rPr>
        <w:t>Based on the chapter's content, it provides clear answers to its opening questions:</w:t>
      </w:r>
    </w:p>
    <w:p w14:paraId="2189DCA5" w14:textId="77777777" w:rsidR="00816E01" w:rsidRPr="00816E01" w:rsidRDefault="00816E01" w:rsidP="00816E01">
      <w:pPr>
        <w:rPr>
          <w:rFonts w:ascii="Palatino" w:hAnsi="Palatino"/>
        </w:rPr>
      </w:pPr>
    </w:p>
    <w:p w14:paraId="40E25D17" w14:textId="77777777" w:rsidR="00816E01" w:rsidRPr="00816E01" w:rsidRDefault="00816E01" w:rsidP="00816E01">
      <w:pPr>
        <w:rPr>
          <w:rFonts w:ascii="Palatino" w:hAnsi="Palatino"/>
        </w:rPr>
      </w:pPr>
      <w:r w:rsidRPr="00816E01">
        <w:rPr>
          <w:rFonts w:ascii="Palatino" w:hAnsi="Palatino"/>
        </w:rPr>
        <w:t>Does CBPR add value... or is it contradictory to 'science'?</w:t>
      </w:r>
    </w:p>
    <w:p w14:paraId="471A0935" w14:textId="77777777" w:rsidR="00816E01" w:rsidRPr="00816E01" w:rsidRDefault="00816E01" w:rsidP="00816E01">
      <w:pPr>
        <w:rPr>
          <w:rFonts w:ascii="Palatino" w:hAnsi="Palatino"/>
        </w:rPr>
      </w:pPr>
    </w:p>
    <w:p w14:paraId="4CE00587" w14:textId="77777777" w:rsidR="00816E01" w:rsidRPr="00816E01" w:rsidRDefault="00816E01" w:rsidP="00816E01">
      <w:pPr>
        <w:rPr>
          <w:rFonts w:ascii="Palatino" w:hAnsi="Palatino"/>
        </w:rPr>
      </w:pPr>
      <w:r w:rsidRPr="00816E01">
        <w:rPr>
          <w:rFonts w:ascii="Palatino" w:hAnsi="Palatino"/>
        </w:rPr>
        <w:t>Answer: Yes, it adds significant value. It is not contradictory but rather expands the tenets of science by incorporating community knowledge and ensuring relevance. It enhances authenticity, a crucial dimension of quality research.</w:t>
      </w:r>
    </w:p>
    <w:p w14:paraId="4940ECA0" w14:textId="77777777" w:rsidR="00816E01" w:rsidRPr="00816E01" w:rsidRDefault="00816E01" w:rsidP="00816E01">
      <w:pPr>
        <w:rPr>
          <w:rFonts w:ascii="Palatino" w:hAnsi="Palatino"/>
        </w:rPr>
      </w:pPr>
    </w:p>
    <w:p w14:paraId="5AC29522" w14:textId="77777777" w:rsidR="00816E01" w:rsidRPr="00816E01" w:rsidRDefault="00816E01" w:rsidP="00816E01">
      <w:pPr>
        <w:rPr>
          <w:rFonts w:ascii="Palatino" w:hAnsi="Palatino"/>
        </w:rPr>
      </w:pPr>
      <w:r w:rsidRPr="00816E01">
        <w:rPr>
          <w:rFonts w:ascii="Palatino" w:hAnsi="Palatino"/>
        </w:rPr>
        <w:t>Does CBPR truly shift power relations?</w:t>
      </w:r>
    </w:p>
    <w:p w14:paraId="75E01F7A" w14:textId="77777777" w:rsidR="00816E01" w:rsidRPr="00816E01" w:rsidRDefault="00816E01" w:rsidP="00816E01">
      <w:pPr>
        <w:rPr>
          <w:rFonts w:ascii="Palatino" w:hAnsi="Palatino"/>
        </w:rPr>
      </w:pPr>
    </w:p>
    <w:p w14:paraId="32247B44" w14:textId="77777777" w:rsidR="00816E01" w:rsidRPr="00816E01" w:rsidRDefault="00816E01" w:rsidP="00816E01">
      <w:pPr>
        <w:rPr>
          <w:rFonts w:ascii="Palatino" w:hAnsi="Palatino"/>
        </w:rPr>
      </w:pPr>
      <w:r w:rsidRPr="00816E01">
        <w:rPr>
          <w:rFonts w:ascii="Palatino" w:hAnsi="Palatino"/>
        </w:rPr>
        <w:t>Answer: Yes, when done correctly. The Everett example, where community input fundamentally changed the conceptual model, is a prime example of power shifting from the researcher as the sole expert to a shared ownership of the research process.</w:t>
      </w:r>
    </w:p>
    <w:p w14:paraId="3C99A191" w14:textId="77777777" w:rsidR="00816E01" w:rsidRPr="00816E01" w:rsidRDefault="00816E01" w:rsidP="00816E01">
      <w:pPr>
        <w:rPr>
          <w:rFonts w:ascii="Palatino" w:hAnsi="Palatino"/>
        </w:rPr>
      </w:pPr>
    </w:p>
    <w:p w14:paraId="6CD8048D" w14:textId="77777777" w:rsidR="00816E01" w:rsidRPr="00816E01" w:rsidRDefault="00816E01" w:rsidP="00816E01">
      <w:pPr>
        <w:rPr>
          <w:rFonts w:ascii="Palatino" w:hAnsi="Palatino"/>
        </w:rPr>
      </w:pPr>
      <w:r w:rsidRPr="00816E01">
        <w:rPr>
          <w:rFonts w:ascii="Palatino" w:hAnsi="Palatino"/>
        </w:rPr>
        <w:t>Does this serve the public health agenda?</w:t>
      </w:r>
    </w:p>
    <w:p w14:paraId="36337D00" w14:textId="77777777" w:rsidR="00816E01" w:rsidRPr="00816E01" w:rsidRDefault="00816E01" w:rsidP="00816E01">
      <w:pPr>
        <w:rPr>
          <w:rFonts w:ascii="Palatino" w:hAnsi="Palatino"/>
        </w:rPr>
      </w:pPr>
    </w:p>
    <w:p w14:paraId="704F3281" w14:textId="77777777" w:rsidR="00816E01" w:rsidRPr="00816E01" w:rsidRDefault="00816E01" w:rsidP="00816E01">
      <w:pPr>
        <w:rPr>
          <w:rFonts w:ascii="Palatino" w:hAnsi="Palatino"/>
        </w:rPr>
      </w:pPr>
      <w:r w:rsidRPr="00816E01">
        <w:rPr>
          <w:rFonts w:ascii="Palatino" w:hAnsi="Palatino"/>
        </w:rPr>
        <w:t>Answer: Yes. By ensuring research is relevant and authentic to the community it aims to serve, CBPR produces findings that are more likely to be adopted and effective, thereby improving public health outcomes and the science that informs them.</w:t>
      </w:r>
    </w:p>
    <w:p w14:paraId="29515FF9" w14:textId="77777777" w:rsidR="00816E01" w:rsidRPr="00816E01" w:rsidRDefault="00816E01" w:rsidP="00816E01">
      <w:pPr>
        <w:rPr>
          <w:rFonts w:ascii="Palatino" w:hAnsi="Palatino"/>
        </w:rPr>
      </w:pPr>
    </w:p>
    <w:p w14:paraId="7FA6CA6D" w14:textId="31DB9685" w:rsidR="000A79D8" w:rsidRPr="00816E01" w:rsidRDefault="00816E01" w:rsidP="00816E01">
      <w:pPr>
        <w:rPr>
          <w:rFonts w:ascii="Palatino" w:hAnsi="Palatino"/>
        </w:rPr>
      </w:pPr>
      <w:r w:rsidRPr="00816E01">
        <w:rPr>
          <w:rFonts w:ascii="Palatino" w:hAnsi="Palatino"/>
        </w:rPr>
        <w:t>In essence, the chapter posits that CBPR strengthens science by making it more democratic, relevant, and authentic, even if it requires navigating challenges related to traditional measures of validity and generalizability.</w:t>
      </w:r>
    </w:p>
    <w:sectPr w:rsidR="000A79D8" w:rsidRPr="00816E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w:panose1 w:val="00000000000000000000"/>
    <w:charset w:val="4D"/>
    <w:family w:val="auto"/>
    <w:pitch w:val="variable"/>
    <w:sig w:usb0="A00002FF" w:usb1="7800205A" w:usb2="14600000" w:usb3="00000000" w:csb0="000001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E01"/>
    <w:rsid w:val="000A79D8"/>
    <w:rsid w:val="005C7D58"/>
    <w:rsid w:val="00816E01"/>
    <w:rsid w:val="00825FCF"/>
    <w:rsid w:val="00C65B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034C049"/>
  <w15:chartTrackingRefBased/>
  <w15:docId w15:val="{01F134AC-3EF5-194A-9851-D330721DD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6E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6E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6E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6E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6E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6E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6E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6E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6E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E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6E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6E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6E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6E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6E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6E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6E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6E01"/>
    <w:rPr>
      <w:rFonts w:eastAsiaTheme="majorEastAsia" w:cstheme="majorBidi"/>
      <w:color w:val="272727" w:themeColor="text1" w:themeTint="D8"/>
    </w:rPr>
  </w:style>
  <w:style w:type="paragraph" w:styleId="Title">
    <w:name w:val="Title"/>
    <w:basedOn w:val="Normal"/>
    <w:next w:val="Normal"/>
    <w:link w:val="TitleChar"/>
    <w:uiPriority w:val="10"/>
    <w:qFormat/>
    <w:rsid w:val="00816E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6E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6E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6E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6E01"/>
    <w:pPr>
      <w:spacing w:before="160"/>
      <w:jc w:val="center"/>
    </w:pPr>
    <w:rPr>
      <w:i/>
      <w:iCs/>
      <w:color w:val="404040" w:themeColor="text1" w:themeTint="BF"/>
    </w:rPr>
  </w:style>
  <w:style w:type="character" w:customStyle="1" w:styleId="QuoteChar">
    <w:name w:val="Quote Char"/>
    <w:basedOn w:val="DefaultParagraphFont"/>
    <w:link w:val="Quote"/>
    <w:uiPriority w:val="29"/>
    <w:rsid w:val="00816E01"/>
    <w:rPr>
      <w:i/>
      <w:iCs/>
      <w:color w:val="404040" w:themeColor="text1" w:themeTint="BF"/>
    </w:rPr>
  </w:style>
  <w:style w:type="paragraph" w:styleId="ListParagraph">
    <w:name w:val="List Paragraph"/>
    <w:basedOn w:val="Normal"/>
    <w:uiPriority w:val="34"/>
    <w:qFormat/>
    <w:rsid w:val="00816E01"/>
    <w:pPr>
      <w:ind w:left="720"/>
      <w:contextualSpacing/>
    </w:pPr>
  </w:style>
  <w:style w:type="character" w:styleId="IntenseEmphasis">
    <w:name w:val="Intense Emphasis"/>
    <w:basedOn w:val="DefaultParagraphFont"/>
    <w:uiPriority w:val="21"/>
    <w:qFormat/>
    <w:rsid w:val="00816E01"/>
    <w:rPr>
      <w:i/>
      <w:iCs/>
      <w:color w:val="0F4761" w:themeColor="accent1" w:themeShade="BF"/>
    </w:rPr>
  </w:style>
  <w:style w:type="paragraph" w:styleId="IntenseQuote">
    <w:name w:val="Intense Quote"/>
    <w:basedOn w:val="Normal"/>
    <w:next w:val="Normal"/>
    <w:link w:val="IntenseQuoteChar"/>
    <w:uiPriority w:val="30"/>
    <w:qFormat/>
    <w:rsid w:val="00816E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6E01"/>
    <w:rPr>
      <w:i/>
      <w:iCs/>
      <w:color w:val="0F4761" w:themeColor="accent1" w:themeShade="BF"/>
    </w:rPr>
  </w:style>
  <w:style w:type="character" w:styleId="IntenseReference">
    <w:name w:val="Intense Reference"/>
    <w:basedOn w:val="DefaultParagraphFont"/>
    <w:uiPriority w:val="32"/>
    <w:qFormat/>
    <w:rsid w:val="00816E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865</Words>
  <Characters>4931</Characters>
  <Application>Microsoft Office Word</Application>
  <DocSecurity>0</DocSecurity>
  <Lines>41</Lines>
  <Paragraphs>11</Paragraphs>
  <ScaleCrop>false</ScaleCrop>
  <Company/>
  <LinksUpToDate>false</LinksUpToDate>
  <CharactersWithSpaces>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Khosravi Kazazi, Ali</dc:creator>
  <cp:keywords/>
  <dc:description/>
  <cp:lastModifiedBy>Khosravi Kazazi, Ali</cp:lastModifiedBy>
  <cp:revision>1</cp:revision>
  <dcterms:created xsi:type="dcterms:W3CDTF">2025-09-09T09:22:00Z</dcterms:created>
  <dcterms:modified xsi:type="dcterms:W3CDTF">2025-09-09T09:25:00Z</dcterms:modified>
</cp:coreProperties>
</file>