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ED748" w14:textId="71F4999D" w:rsidR="00AA6D79" w:rsidRPr="00AA6D79" w:rsidRDefault="00AA6D79" w:rsidP="00AA6D79">
      <w:pPr>
        <w:rPr>
          <w:rFonts w:ascii="Palatino" w:hAnsi="Palatino"/>
        </w:rPr>
      </w:pPr>
      <w:r w:rsidRPr="00AA6D79">
        <w:rPr>
          <w:rFonts w:ascii="Palatino" w:hAnsi="Palatino"/>
        </w:rPr>
        <w:t xml:space="preserve">This article serves as both an </w:t>
      </w:r>
      <w:r w:rsidRPr="004932B3">
        <w:rPr>
          <w:rFonts w:ascii="Palatino" w:hAnsi="Palatino"/>
          <w:highlight w:val="yellow"/>
        </w:rPr>
        <w:t>introduction and a persuasive</w:t>
      </w:r>
      <w:r w:rsidRPr="00AA6D79">
        <w:rPr>
          <w:rFonts w:ascii="Palatino" w:hAnsi="Palatino"/>
        </w:rPr>
        <w:t xml:space="preserve"> argument for the adoption of Community-Based Participatory Research (CBPR) within </w:t>
      </w:r>
      <w:r w:rsidRPr="004932B3">
        <w:rPr>
          <w:rFonts w:ascii="Palatino" w:hAnsi="Palatino"/>
          <w:highlight w:val="yellow"/>
        </w:rPr>
        <w:t>family science and health research</w:t>
      </w:r>
      <w:r w:rsidRPr="00AA6D79">
        <w:rPr>
          <w:rFonts w:ascii="Palatino" w:hAnsi="Palatino"/>
        </w:rPr>
        <w:t>. It moves beyond theory to provide concrete, practical examples of CBPR in action.</w:t>
      </w:r>
    </w:p>
    <w:p w14:paraId="530C8DAE" w14:textId="4FB5FFEA" w:rsidR="00AA6D79" w:rsidRPr="00AA6D79" w:rsidRDefault="00AA6D79" w:rsidP="00AA6D79">
      <w:pPr>
        <w:rPr>
          <w:rFonts w:ascii="Palatino" w:hAnsi="Palatino"/>
        </w:rPr>
      </w:pPr>
      <w:r w:rsidRPr="00AA6D79">
        <w:rPr>
          <w:rFonts w:ascii="Palatino" w:hAnsi="Palatino"/>
        </w:rPr>
        <w:t>Here is a layered analysis of its key elements:</w:t>
      </w:r>
    </w:p>
    <w:p w14:paraId="23A4232B" w14:textId="03CEF748" w:rsidR="00AA6D79" w:rsidRPr="00AA6D79" w:rsidRDefault="00AA6D79" w:rsidP="00AA6D79">
      <w:pPr>
        <w:rPr>
          <w:rFonts w:ascii="Palatino" w:hAnsi="Palatino"/>
        </w:rPr>
      </w:pPr>
      <w:r w:rsidRPr="00AA6D79">
        <w:rPr>
          <w:rFonts w:ascii="Palatino" w:hAnsi="Palatino"/>
        </w:rPr>
        <w:t xml:space="preserve">1. Core Definition </w:t>
      </w:r>
    </w:p>
    <w:p w14:paraId="10EB893B" w14:textId="142792CC" w:rsidR="00AA6D79" w:rsidRPr="00AA6D79" w:rsidRDefault="00AA6D79" w:rsidP="00AA6D79">
      <w:pPr>
        <w:rPr>
          <w:rFonts w:ascii="Palatino" w:hAnsi="Palatino"/>
        </w:rPr>
      </w:pPr>
      <w:r w:rsidRPr="00AA6D79">
        <w:rPr>
          <w:rFonts w:ascii="Palatino" w:hAnsi="Palatino"/>
        </w:rPr>
        <w:t xml:space="preserve">The article defines CBPR not just as a method, but as </w:t>
      </w:r>
      <w:r w:rsidRPr="004932B3">
        <w:rPr>
          <w:rFonts w:ascii="Palatino" w:hAnsi="Palatino"/>
          <w:highlight w:val="yellow"/>
        </w:rPr>
        <w:t>an action research approach</w:t>
      </w:r>
      <w:r w:rsidRPr="00AA6D79">
        <w:rPr>
          <w:rFonts w:ascii="Palatino" w:hAnsi="Palatino"/>
        </w:rPr>
        <w:t xml:space="preserve"> and a philosophical orientation. Its central tenets are:</w:t>
      </w:r>
    </w:p>
    <w:p w14:paraId="073F3E95" w14:textId="4D3746F8" w:rsidR="00AA6D79" w:rsidRPr="00AA6D79" w:rsidRDefault="00AA6D79" w:rsidP="00AA6D79">
      <w:pPr>
        <w:rPr>
          <w:rFonts w:ascii="Palatino" w:hAnsi="Palatino"/>
        </w:rPr>
      </w:pPr>
      <w:r w:rsidRPr="00AA6D79">
        <w:rPr>
          <w:rFonts w:ascii="Palatino" w:hAnsi="Palatino"/>
        </w:rPr>
        <w:t xml:space="preserve">Flattened Hierarchies: It actively dismantles the traditional </w:t>
      </w:r>
      <w:r w:rsidRPr="004932B3">
        <w:rPr>
          <w:rFonts w:ascii="Palatino" w:hAnsi="Palatino"/>
          <w:highlight w:val="yellow"/>
        </w:rPr>
        <w:t>"expert-subject" dynamic</w:t>
      </w:r>
      <w:r w:rsidRPr="00AA6D79">
        <w:rPr>
          <w:rFonts w:ascii="Palatino" w:hAnsi="Palatino"/>
        </w:rPr>
        <w:t xml:space="preserve">, creating a collaborative partnership between </w:t>
      </w:r>
      <w:r w:rsidRPr="004932B3">
        <w:rPr>
          <w:rFonts w:ascii="Palatino" w:hAnsi="Palatino"/>
          <w:highlight w:val="yellow"/>
        </w:rPr>
        <w:t>researchers, providers, community members, and families</w:t>
      </w:r>
      <w:r w:rsidRPr="00AA6D79">
        <w:rPr>
          <w:rFonts w:ascii="Palatino" w:hAnsi="Palatino"/>
        </w:rPr>
        <w:t>.</w:t>
      </w:r>
    </w:p>
    <w:p w14:paraId="4B66DB39" w14:textId="5CAA6E09" w:rsidR="00AA6D79" w:rsidRPr="00AA6D79" w:rsidRDefault="00AA6D79" w:rsidP="00AA6D79">
      <w:pPr>
        <w:rPr>
          <w:rFonts w:ascii="Palatino" w:hAnsi="Palatino"/>
        </w:rPr>
      </w:pPr>
      <w:r w:rsidRPr="00AA6D79">
        <w:rPr>
          <w:rFonts w:ascii="Palatino" w:hAnsi="Palatino"/>
        </w:rPr>
        <w:t xml:space="preserve">Co-creation: All partners contribute unique strengths and knowledge. </w:t>
      </w:r>
      <w:r w:rsidRPr="004932B3">
        <w:rPr>
          <w:rFonts w:ascii="Palatino" w:hAnsi="Palatino"/>
          <w:highlight w:val="yellow"/>
        </w:rPr>
        <w:t>Community members are not "subjects" but co-researchers and co-producers of knowledge</w:t>
      </w:r>
      <w:r w:rsidRPr="00AA6D79">
        <w:rPr>
          <w:rFonts w:ascii="Palatino" w:hAnsi="Palatino"/>
        </w:rPr>
        <w:t xml:space="preserve"> and interventions.</w:t>
      </w:r>
    </w:p>
    <w:p w14:paraId="29DC34C1" w14:textId="114C3639" w:rsidR="00AA6D79" w:rsidRPr="00AA6D79" w:rsidRDefault="00AA6D79" w:rsidP="00AA6D79">
      <w:pPr>
        <w:rPr>
          <w:rFonts w:ascii="Palatino" w:hAnsi="Palatino"/>
        </w:rPr>
      </w:pPr>
      <w:r w:rsidRPr="00AA6D79">
        <w:rPr>
          <w:rFonts w:ascii="Palatino" w:hAnsi="Palatino"/>
        </w:rPr>
        <w:t xml:space="preserve">Action-Oriented: The </w:t>
      </w:r>
      <w:proofErr w:type="gramStart"/>
      <w:r w:rsidRPr="00AA6D79">
        <w:rPr>
          <w:rFonts w:ascii="Palatino" w:hAnsi="Palatino"/>
        </w:rPr>
        <w:t>ultimate goal</w:t>
      </w:r>
      <w:proofErr w:type="gramEnd"/>
      <w:r w:rsidRPr="00AA6D79">
        <w:rPr>
          <w:rFonts w:ascii="Palatino" w:hAnsi="Palatino"/>
        </w:rPr>
        <w:t xml:space="preserve"> is </w:t>
      </w:r>
      <w:r w:rsidRPr="004932B3">
        <w:rPr>
          <w:rFonts w:ascii="Palatino" w:hAnsi="Palatino"/>
          <w:highlight w:val="yellow"/>
        </w:rPr>
        <w:t>not just to generate knowledge</w:t>
      </w:r>
      <w:r w:rsidRPr="00AA6D79">
        <w:rPr>
          <w:rFonts w:ascii="Palatino" w:hAnsi="Palatino"/>
        </w:rPr>
        <w:t xml:space="preserve"> for publication, but to solve local problems and effect tangible, </w:t>
      </w:r>
      <w:r w:rsidRPr="004932B3">
        <w:rPr>
          <w:rFonts w:ascii="Palatino" w:hAnsi="Palatino"/>
          <w:highlight w:val="yellow"/>
        </w:rPr>
        <w:t>positive change</w:t>
      </w:r>
      <w:r w:rsidRPr="00AA6D79">
        <w:rPr>
          <w:rFonts w:ascii="Palatino" w:hAnsi="Palatino"/>
        </w:rPr>
        <w:t xml:space="preserve"> within the community.</w:t>
      </w:r>
    </w:p>
    <w:p w14:paraId="7FE093C5" w14:textId="77777777" w:rsidR="00AA6D79" w:rsidRPr="00AA6D79" w:rsidRDefault="00AA6D79" w:rsidP="00AA6D79">
      <w:pPr>
        <w:rPr>
          <w:rFonts w:ascii="Palatino" w:hAnsi="Palatino"/>
        </w:rPr>
      </w:pPr>
      <w:r w:rsidRPr="00AA6D79">
        <w:rPr>
          <w:rFonts w:ascii="Palatino" w:hAnsi="Palatino"/>
        </w:rPr>
        <w:t xml:space="preserve">Strength-Based: It identifies and leverages </w:t>
      </w:r>
      <w:r w:rsidRPr="004932B3">
        <w:rPr>
          <w:rFonts w:ascii="Palatino" w:hAnsi="Palatino"/>
          <w:highlight w:val="yellow"/>
        </w:rPr>
        <w:t>existing resources</w:t>
      </w:r>
      <w:r w:rsidRPr="00AA6D79">
        <w:rPr>
          <w:rFonts w:ascii="Palatino" w:hAnsi="Palatino"/>
        </w:rPr>
        <w:t xml:space="preserve"> within the community (</w:t>
      </w:r>
      <w:r w:rsidRPr="004932B3">
        <w:rPr>
          <w:rFonts w:ascii="Palatino" w:hAnsi="Palatino"/>
          <w:highlight w:val="yellow"/>
        </w:rPr>
        <w:t>lived experience, wisdom, cultural traditions, social networks</w:t>
      </w:r>
      <w:r w:rsidRPr="00AA6D79">
        <w:rPr>
          <w:rFonts w:ascii="Palatino" w:hAnsi="Palatino"/>
        </w:rPr>
        <w:t>) rather than focusing solely on deficits.</w:t>
      </w:r>
    </w:p>
    <w:p w14:paraId="6591ED97" w14:textId="77777777" w:rsidR="00AA6D79" w:rsidRPr="00AA6D79" w:rsidRDefault="00AA6D79" w:rsidP="00AA6D79">
      <w:pPr>
        <w:rPr>
          <w:rFonts w:ascii="Palatino" w:hAnsi="Palatino"/>
        </w:rPr>
      </w:pPr>
    </w:p>
    <w:p w14:paraId="2A54B1F8" w14:textId="77777777" w:rsidR="00AA6D79" w:rsidRPr="00AA6D79" w:rsidRDefault="00AA6D79" w:rsidP="00AA6D79">
      <w:pPr>
        <w:rPr>
          <w:rFonts w:ascii="Palatino" w:hAnsi="Palatino"/>
        </w:rPr>
      </w:pPr>
      <w:r w:rsidRPr="00AA6D79">
        <w:rPr>
          <w:rFonts w:ascii="Palatino" w:hAnsi="Palatino"/>
        </w:rPr>
        <w:t>2. The Citizen Health Care Model: A Practical Framework</w:t>
      </w:r>
    </w:p>
    <w:p w14:paraId="36340976" w14:textId="33C8F236" w:rsidR="00AA6D79" w:rsidRPr="00AA6D79" w:rsidRDefault="00AA6D79" w:rsidP="00AA6D79">
      <w:pPr>
        <w:rPr>
          <w:rFonts w:ascii="Palatino" w:hAnsi="Palatino"/>
        </w:rPr>
      </w:pPr>
      <w:r w:rsidRPr="00AA6D79">
        <w:rPr>
          <w:rFonts w:ascii="Palatino" w:hAnsi="Palatino"/>
        </w:rPr>
        <w:t>A crucial contribution of this article is the detailed presentation of the Citizen Health Care Model as a specific CBPR framework for healthcare settings. The model is powerful because it operationalizes CBPR principles into actionable steps.</w:t>
      </w:r>
    </w:p>
    <w:p w14:paraId="2BE16218" w14:textId="3F00E2BA" w:rsidR="00AA6D79" w:rsidRPr="00AA6D79" w:rsidRDefault="00AA6D79" w:rsidP="00AA6D79">
      <w:pPr>
        <w:rPr>
          <w:rFonts w:ascii="Palatino" w:hAnsi="Palatino"/>
        </w:rPr>
      </w:pPr>
      <w:r w:rsidRPr="00AA6D79">
        <w:rPr>
          <w:rFonts w:ascii="Palatino" w:hAnsi="Palatino"/>
        </w:rPr>
        <w:t xml:space="preserve">Core Principles (Table 1): These principles reframe the entire healthcare paradigm. The most profound shift is </w:t>
      </w:r>
      <w:r w:rsidRPr="00FD5A2C">
        <w:rPr>
          <w:rFonts w:ascii="Palatino" w:hAnsi="Palatino"/>
          <w:highlight w:val="yellow"/>
        </w:rPr>
        <w:t>viewing families and communities</w:t>
      </w:r>
      <w:r w:rsidRPr="00AA6D79">
        <w:rPr>
          <w:rFonts w:ascii="Palatino" w:hAnsi="Palatino"/>
        </w:rPr>
        <w:t xml:space="preserve"> as </w:t>
      </w:r>
      <w:r w:rsidRPr="00FD5A2C">
        <w:rPr>
          <w:rFonts w:ascii="Palatino" w:hAnsi="Palatino"/>
          <w:highlight w:val="yellow"/>
        </w:rPr>
        <w:t>"producers of health</w:t>
      </w:r>
      <w:r w:rsidRPr="00AA6D79">
        <w:rPr>
          <w:rFonts w:ascii="Palatino" w:hAnsi="Palatino"/>
        </w:rPr>
        <w:t>" and health professionals as "</w:t>
      </w:r>
      <w:r w:rsidRPr="00FD5A2C">
        <w:rPr>
          <w:rFonts w:ascii="Palatino" w:hAnsi="Palatino"/>
          <w:highlight w:val="yellow"/>
        </w:rPr>
        <w:t>citizens</w:t>
      </w:r>
      <w:r w:rsidRPr="00AA6D79">
        <w:rPr>
          <w:rFonts w:ascii="Palatino" w:hAnsi="Palatino"/>
        </w:rPr>
        <w:t xml:space="preserve">" first. This redefines roles from passive recipients and distant providers to active, </w:t>
      </w:r>
      <w:r w:rsidRPr="00FD5A2C">
        <w:rPr>
          <w:rFonts w:ascii="Palatino" w:hAnsi="Palatino"/>
          <w:highlight w:val="yellow"/>
        </w:rPr>
        <w:t>collaborative agents of change</w:t>
      </w:r>
      <w:r w:rsidRPr="00AA6D79">
        <w:rPr>
          <w:rFonts w:ascii="Palatino" w:hAnsi="Palatino"/>
        </w:rPr>
        <w:t>.</w:t>
      </w:r>
    </w:p>
    <w:p w14:paraId="22AB97C7" w14:textId="77777777" w:rsidR="00FD5A2C" w:rsidRDefault="00FD5A2C" w:rsidP="00AA6D79">
      <w:pPr>
        <w:rPr>
          <w:rFonts w:ascii="Palatino" w:hAnsi="Palatino"/>
        </w:rPr>
      </w:pPr>
    </w:p>
    <w:p w14:paraId="5B0AA62A" w14:textId="77777777" w:rsidR="00FD5A2C" w:rsidRDefault="00FD5A2C" w:rsidP="00AA6D79">
      <w:pPr>
        <w:rPr>
          <w:rFonts w:ascii="Palatino" w:hAnsi="Palatino"/>
        </w:rPr>
      </w:pPr>
    </w:p>
    <w:p w14:paraId="7F136236" w14:textId="77777777" w:rsidR="00FD5A2C" w:rsidRDefault="00FD5A2C" w:rsidP="00AA6D79">
      <w:pPr>
        <w:rPr>
          <w:rFonts w:ascii="Palatino" w:hAnsi="Palatino"/>
        </w:rPr>
      </w:pPr>
    </w:p>
    <w:p w14:paraId="4408B71C" w14:textId="77777777" w:rsidR="00FD5A2C" w:rsidRDefault="00FD5A2C" w:rsidP="00AA6D79">
      <w:pPr>
        <w:rPr>
          <w:rFonts w:ascii="Palatino" w:hAnsi="Palatino"/>
        </w:rPr>
      </w:pPr>
    </w:p>
    <w:p w14:paraId="59E27C4E" w14:textId="77777777" w:rsidR="00FD5A2C" w:rsidRDefault="00FD5A2C" w:rsidP="00AA6D79">
      <w:pPr>
        <w:rPr>
          <w:rFonts w:ascii="Palatino" w:hAnsi="Palatino"/>
        </w:rPr>
      </w:pPr>
    </w:p>
    <w:p w14:paraId="564F5307" w14:textId="60C7A5D5" w:rsidR="00AA6D79" w:rsidRPr="00AA6D79" w:rsidRDefault="00AA6D79" w:rsidP="00FD5A2C">
      <w:pPr>
        <w:rPr>
          <w:rFonts w:ascii="Palatino" w:hAnsi="Palatino"/>
        </w:rPr>
      </w:pPr>
      <w:r w:rsidRPr="00AA6D79">
        <w:rPr>
          <w:rFonts w:ascii="Palatino" w:hAnsi="Palatino"/>
        </w:rPr>
        <w:lastRenderedPageBreak/>
        <w:t xml:space="preserve">Action Strategies (Table 2): This is a practical, </w:t>
      </w:r>
      <w:r w:rsidRPr="00FD5A2C">
        <w:rPr>
          <w:rFonts w:ascii="Palatino" w:hAnsi="Palatino"/>
          <w:highlight w:val="yellow"/>
        </w:rPr>
        <w:t>step-by-step guide for initiating a CBPR project</w:t>
      </w:r>
      <w:r w:rsidRPr="00AA6D79">
        <w:rPr>
          <w:rFonts w:ascii="Palatino" w:hAnsi="Palatino"/>
        </w:rPr>
        <w:t>. Key takeaways include:</w:t>
      </w:r>
    </w:p>
    <w:p w14:paraId="43568928" w14:textId="27BE2C4C" w:rsidR="00AA6D79" w:rsidRPr="00AA6D79" w:rsidRDefault="00AA6D79" w:rsidP="00AA6D79">
      <w:pPr>
        <w:rPr>
          <w:rFonts w:ascii="Palatino" w:hAnsi="Palatino"/>
        </w:rPr>
      </w:pPr>
      <w:r w:rsidRPr="00FD5A2C">
        <w:rPr>
          <w:rFonts w:ascii="Palatino" w:hAnsi="Palatino"/>
          <w:highlight w:val="yellow"/>
        </w:rPr>
        <w:t>Start Small</w:t>
      </w:r>
      <w:r w:rsidRPr="00AA6D79">
        <w:rPr>
          <w:rFonts w:ascii="Palatino" w:hAnsi="Palatino"/>
        </w:rPr>
        <w:t xml:space="preserve">: Begin with </w:t>
      </w:r>
      <w:r w:rsidRPr="00FD5A2C">
        <w:rPr>
          <w:rFonts w:ascii="Palatino" w:hAnsi="Palatino"/>
          <w:highlight w:val="yellow"/>
        </w:rPr>
        <w:t>key leaders</w:t>
      </w:r>
      <w:r w:rsidRPr="00AA6D79">
        <w:rPr>
          <w:rFonts w:ascii="Palatino" w:hAnsi="Palatino"/>
        </w:rPr>
        <w:t xml:space="preserve"> and a </w:t>
      </w:r>
      <w:r w:rsidRPr="00FD5A2C">
        <w:rPr>
          <w:rFonts w:ascii="Palatino" w:hAnsi="Palatino"/>
          <w:highlight w:val="yellow"/>
        </w:rPr>
        <w:t>small group of community members</w:t>
      </w:r>
      <w:r w:rsidRPr="00AA6D79">
        <w:rPr>
          <w:rFonts w:ascii="Palatino" w:hAnsi="Palatino"/>
        </w:rPr>
        <w:t xml:space="preserve"> to build </w:t>
      </w:r>
      <w:r w:rsidRPr="00FD5A2C">
        <w:rPr>
          <w:rFonts w:ascii="Palatino" w:hAnsi="Palatino"/>
          <w:highlight w:val="yellow"/>
        </w:rPr>
        <w:t xml:space="preserve">trust and </w:t>
      </w:r>
      <w:r w:rsidR="00FD5A2C" w:rsidRPr="00FD5A2C">
        <w:rPr>
          <w:rFonts w:ascii="Palatino" w:hAnsi="Palatino"/>
          <w:highlight w:val="yellow"/>
        </w:rPr>
        <w:t>agreement</w:t>
      </w:r>
      <w:r w:rsidRPr="00AA6D79">
        <w:rPr>
          <w:rFonts w:ascii="Palatino" w:hAnsi="Palatino"/>
        </w:rPr>
        <w:t>.</w:t>
      </w:r>
    </w:p>
    <w:p w14:paraId="36539499" w14:textId="3D7F5C22" w:rsidR="00AA6D79" w:rsidRPr="00AA6D79" w:rsidRDefault="00AA6D79" w:rsidP="00AA6D79">
      <w:pPr>
        <w:rPr>
          <w:rFonts w:ascii="Palatino" w:hAnsi="Palatino"/>
        </w:rPr>
      </w:pPr>
      <w:r w:rsidRPr="00AA6D79">
        <w:rPr>
          <w:rFonts w:ascii="Palatino" w:hAnsi="Palatino"/>
        </w:rPr>
        <w:t>Identify a "</w:t>
      </w:r>
      <w:r w:rsidRPr="00FD5A2C">
        <w:rPr>
          <w:rFonts w:ascii="Palatino" w:hAnsi="Palatino"/>
          <w:highlight w:val="yellow"/>
        </w:rPr>
        <w:t>Pressure Point</w:t>
      </w:r>
      <w:r w:rsidRPr="00AA6D79">
        <w:rPr>
          <w:rFonts w:ascii="Palatino" w:hAnsi="Palatino"/>
        </w:rPr>
        <w:t xml:space="preserve">": The health issue must be of genuine, </w:t>
      </w:r>
      <w:r w:rsidRPr="00FD5A2C">
        <w:rPr>
          <w:rFonts w:ascii="Palatino" w:hAnsi="Palatino"/>
          <w:highlight w:val="yellow"/>
        </w:rPr>
        <w:t>passionate</w:t>
      </w:r>
      <w:r w:rsidRPr="00AA6D79">
        <w:rPr>
          <w:rFonts w:ascii="Palatino" w:hAnsi="Palatino"/>
        </w:rPr>
        <w:t xml:space="preserve"> concern to both the </w:t>
      </w:r>
      <w:r w:rsidRPr="00FD5A2C">
        <w:rPr>
          <w:rFonts w:ascii="Palatino" w:hAnsi="Palatino"/>
          <w:highlight w:val="yellow"/>
        </w:rPr>
        <w:t>community and professionals</w:t>
      </w:r>
      <w:r w:rsidRPr="00AA6D79">
        <w:rPr>
          <w:rFonts w:ascii="Palatino" w:hAnsi="Palatino"/>
        </w:rPr>
        <w:t>.</w:t>
      </w:r>
    </w:p>
    <w:p w14:paraId="0D9DCA84" w14:textId="59FE508D" w:rsidR="00AA6D79" w:rsidRPr="00AA6D79" w:rsidRDefault="00AA6D79" w:rsidP="00AA6D79">
      <w:pPr>
        <w:rPr>
          <w:rFonts w:ascii="Palatino" w:hAnsi="Palatino"/>
        </w:rPr>
      </w:pPr>
      <w:r w:rsidRPr="00AA6D79">
        <w:rPr>
          <w:rFonts w:ascii="Palatino" w:hAnsi="Palatino"/>
        </w:rPr>
        <w:t>"</w:t>
      </w:r>
      <w:r w:rsidRPr="00FD5A2C">
        <w:rPr>
          <w:rFonts w:ascii="Palatino" w:hAnsi="Palatino"/>
          <w:highlight w:val="yellow"/>
        </w:rPr>
        <w:t>Citizen Power</w:t>
      </w:r>
      <w:r w:rsidRPr="00AA6D79">
        <w:rPr>
          <w:rFonts w:ascii="Palatino" w:hAnsi="Palatino"/>
        </w:rPr>
        <w:t xml:space="preserve">": The goal is to </w:t>
      </w:r>
      <w:r w:rsidRPr="00FD5A2C">
        <w:rPr>
          <w:rFonts w:ascii="Palatino" w:hAnsi="Palatino"/>
          <w:highlight w:val="yellow"/>
        </w:rPr>
        <w:t>identify and develop ordinary community leaders</w:t>
      </w:r>
      <w:r w:rsidRPr="00AA6D79">
        <w:rPr>
          <w:rFonts w:ascii="Palatino" w:hAnsi="Palatino"/>
        </w:rPr>
        <w:t xml:space="preserve"> with "</w:t>
      </w:r>
      <w:r w:rsidRPr="00FD5A2C">
        <w:rPr>
          <w:rFonts w:ascii="Palatino" w:hAnsi="Palatino"/>
          <w:highlight w:val="yellow"/>
        </w:rPr>
        <w:t>lived expertise</w:t>
      </w:r>
      <w:r w:rsidRPr="00AA6D79">
        <w:rPr>
          <w:rFonts w:ascii="Palatino" w:hAnsi="Palatino"/>
        </w:rPr>
        <w:t>," not just positional leaders.</w:t>
      </w:r>
    </w:p>
    <w:p w14:paraId="2C06A416" w14:textId="0C652703" w:rsidR="00AA6D79" w:rsidRPr="00AA6D79" w:rsidRDefault="00AA6D79" w:rsidP="00AA6D79">
      <w:pPr>
        <w:rPr>
          <w:rFonts w:ascii="Palatino" w:hAnsi="Palatino"/>
        </w:rPr>
      </w:pPr>
      <w:r w:rsidRPr="00AA6D79">
        <w:rPr>
          <w:rFonts w:ascii="Palatino" w:hAnsi="Palatino"/>
        </w:rPr>
        <w:t xml:space="preserve">Process Over Program: It emphasizes a </w:t>
      </w:r>
      <w:r w:rsidRPr="00FD5A2C">
        <w:rPr>
          <w:rFonts w:ascii="Palatino" w:hAnsi="Palatino"/>
          <w:highlight w:val="yellow"/>
        </w:rPr>
        <w:t>slow, democratic, and often "messy"</w:t>
      </w:r>
      <w:r w:rsidRPr="00AA6D79">
        <w:rPr>
          <w:rFonts w:ascii="Palatino" w:hAnsi="Palatino"/>
        </w:rPr>
        <w:t xml:space="preserve"> process of co-creation rather than imposing a </w:t>
      </w:r>
      <w:r w:rsidRPr="00FD5A2C">
        <w:rPr>
          <w:rFonts w:ascii="Palatino" w:hAnsi="Palatino"/>
          <w:highlight w:val="yellow"/>
        </w:rPr>
        <w:t>pre-packaged program</w:t>
      </w:r>
      <w:r w:rsidRPr="00AA6D79">
        <w:rPr>
          <w:rFonts w:ascii="Palatino" w:hAnsi="Palatino"/>
        </w:rPr>
        <w:t>.</w:t>
      </w:r>
    </w:p>
    <w:p w14:paraId="15D199C4" w14:textId="77777777" w:rsidR="00AA6D79" w:rsidRPr="00AA6D79" w:rsidRDefault="00AA6D79" w:rsidP="00AA6D79">
      <w:pPr>
        <w:rPr>
          <w:rFonts w:ascii="Palatino" w:hAnsi="Palatino"/>
        </w:rPr>
      </w:pPr>
      <w:r w:rsidRPr="00AA6D79">
        <w:rPr>
          <w:rFonts w:ascii="Palatino" w:hAnsi="Palatino"/>
        </w:rPr>
        <w:t>3. Illustrative Case Studies: CBPR in Practice</w:t>
      </w:r>
    </w:p>
    <w:p w14:paraId="3EE3ACE9" w14:textId="1F966640" w:rsidR="00AA6D79" w:rsidRPr="00AA6D79" w:rsidRDefault="00AA6D79" w:rsidP="00AA6D79">
      <w:pPr>
        <w:rPr>
          <w:rFonts w:ascii="Palatino" w:hAnsi="Palatino"/>
        </w:rPr>
      </w:pPr>
      <w:r w:rsidRPr="00AA6D79">
        <w:rPr>
          <w:rFonts w:ascii="Palatino" w:hAnsi="Palatino"/>
        </w:rPr>
        <w:t>The article uses two detailed case studies to demonstrate the model's application across different contexts:</w:t>
      </w:r>
    </w:p>
    <w:p w14:paraId="5A89A6A9" w14:textId="67DD55A7" w:rsidR="00AA6D79" w:rsidRPr="00AA6D79" w:rsidRDefault="00AA6D79" w:rsidP="00AA6D79">
      <w:pPr>
        <w:rPr>
          <w:rFonts w:ascii="Palatino" w:hAnsi="Palatino"/>
        </w:rPr>
      </w:pPr>
      <w:r w:rsidRPr="00AA6D79">
        <w:rPr>
          <w:rFonts w:ascii="Palatino" w:hAnsi="Palatino"/>
        </w:rPr>
        <w:t xml:space="preserve">The ANGELS Project (Type 1 </w:t>
      </w:r>
      <w:r w:rsidRPr="000829D5">
        <w:rPr>
          <w:rFonts w:ascii="Palatino" w:hAnsi="Palatino"/>
          <w:highlight w:val="yellow"/>
        </w:rPr>
        <w:t>Diabetes in Adolescents</w:t>
      </w:r>
      <w:r w:rsidRPr="00AA6D79">
        <w:rPr>
          <w:rFonts w:ascii="Palatino" w:hAnsi="Palatino"/>
        </w:rPr>
        <w:t>):</w:t>
      </w:r>
    </w:p>
    <w:p w14:paraId="3542FBF1" w14:textId="312BCE8C" w:rsidR="00AA6D79" w:rsidRPr="00AA6D79" w:rsidRDefault="00AA6D79" w:rsidP="00AA6D79">
      <w:pPr>
        <w:rPr>
          <w:rFonts w:ascii="Palatino" w:hAnsi="Palatino"/>
        </w:rPr>
      </w:pPr>
      <w:r w:rsidRPr="00AA6D79">
        <w:rPr>
          <w:rFonts w:ascii="Palatino" w:hAnsi="Palatino"/>
        </w:rPr>
        <w:t xml:space="preserve">Problem: </w:t>
      </w:r>
      <w:r w:rsidRPr="000829D5">
        <w:rPr>
          <w:rFonts w:ascii="Palatino" w:hAnsi="Palatino"/>
          <w:highlight w:val="yellow"/>
        </w:rPr>
        <w:t>Provider frustration</w:t>
      </w:r>
      <w:r w:rsidRPr="00AA6D79">
        <w:rPr>
          <w:rFonts w:ascii="Palatino" w:hAnsi="Palatino"/>
        </w:rPr>
        <w:t xml:space="preserve">, </w:t>
      </w:r>
      <w:r w:rsidRPr="000829D5">
        <w:rPr>
          <w:rFonts w:ascii="Palatino" w:hAnsi="Palatino"/>
          <w:highlight w:val="yellow"/>
        </w:rPr>
        <w:t>adolescent resistance</w:t>
      </w:r>
      <w:r w:rsidRPr="00AA6D79">
        <w:rPr>
          <w:rFonts w:ascii="Palatino" w:hAnsi="Palatino"/>
        </w:rPr>
        <w:t xml:space="preserve">, </w:t>
      </w:r>
      <w:r w:rsidRPr="000829D5">
        <w:rPr>
          <w:rFonts w:ascii="Palatino" w:hAnsi="Palatino"/>
          <w:highlight w:val="yellow"/>
        </w:rPr>
        <w:t>and family conflict around diabetes management</w:t>
      </w:r>
      <w:r w:rsidRPr="00AA6D79">
        <w:rPr>
          <w:rFonts w:ascii="Palatino" w:hAnsi="Palatino"/>
        </w:rPr>
        <w:t>.</w:t>
      </w:r>
    </w:p>
    <w:p w14:paraId="467C09C8" w14:textId="0186A211" w:rsidR="00AA6D79" w:rsidRPr="00AA6D79" w:rsidRDefault="00AA6D79" w:rsidP="00AA6D79">
      <w:pPr>
        <w:rPr>
          <w:rFonts w:ascii="Palatino" w:hAnsi="Palatino"/>
        </w:rPr>
      </w:pPr>
      <w:r w:rsidRPr="00AA6D79">
        <w:rPr>
          <w:rFonts w:ascii="Palatino" w:hAnsi="Palatino"/>
        </w:rPr>
        <w:t xml:space="preserve">CBPR Solution: A peer-support model where </w:t>
      </w:r>
      <w:r w:rsidRPr="000829D5">
        <w:rPr>
          <w:rFonts w:ascii="Palatino" w:hAnsi="Palatino"/>
          <w:highlight w:val="yellow"/>
        </w:rPr>
        <w:t>families</w:t>
      </w:r>
      <w:r w:rsidRPr="00AA6D79">
        <w:rPr>
          <w:rFonts w:ascii="Palatino" w:hAnsi="Palatino"/>
        </w:rPr>
        <w:t xml:space="preserve"> who have "been there" (Support Partners) connect with families </w:t>
      </w:r>
      <w:r w:rsidRPr="000829D5">
        <w:rPr>
          <w:rFonts w:ascii="Palatino" w:hAnsi="Palatino"/>
          <w:highlight w:val="yellow"/>
        </w:rPr>
        <w:t>newly diagnosed</w:t>
      </w:r>
      <w:r w:rsidRPr="00AA6D79">
        <w:rPr>
          <w:rFonts w:ascii="Palatino" w:hAnsi="Palatino"/>
        </w:rPr>
        <w:t xml:space="preserve"> (Members). The key was that the adolescents themselves drove the design, naming, and implementation.</w:t>
      </w:r>
    </w:p>
    <w:p w14:paraId="75F933C5" w14:textId="25041336" w:rsidR="00AA6D79" w:rsidRPr="00AA6D79" w:rsidRDefault="00AA6D79" w:rsidP="00AA6D79">
      <w:pPr>
        <w:rPr>
          <w:rFonts w:ascii="Palatino" w:hAnsi="Palatino"/>
        </w:rPr>
      </w:pPr>
      <w:r w:rsidRPr="00AA6D79">
        <w:rPr>
          <w:rFonts w:ascii="Palatino" w:hAnsi="Palatino"/>
        </w:rPr>
        <w:t xml:space="preserve">Key Insight: </w:t>
      </w:r>
      <w:r w:rsidRPr="000829D5">
        <w:rPr>
          <w:rFonts w:ascii="Palatino" w:hAnsi="Palatino"/>
          <w:highlight w:val="yellow"/>
        </w:rPr>
        <w:t>Motivation is highest at diagnosis</w:t>
      </w:r>
      <w:r w:rsidRPr="00AA6D79">
        <w:rPr>
          <w:rFonts w:ascii="Palatino" w:hAnsi="Palatino"/>
        </w:rPr>
        <w:t>. By meeting families in the hospital during this crisis, the intervention taps into a critical window of opportunity, an insight that came directly from the teen partners.</w:t>
      </w:r>
    </w:p>
    <w:p w14:paraId="72686AC6" w14:textId="2861B877" w:rsidR="00AA6D79" w:rsidRPr="00AA6D79" w:rsidRDefault="00AA6D79" w:rsidP="00AA6D79">
      <w:pPr>
        <w:rPr>
          <w:rFonts w:ascii="Palatino" w:hAnsi="Palatino"/>
        </w:rPr>
      </w:pPr>
      <w:r w:rsidRPr="00AA6D79">
        <w:rPr>
          <w:rFonts w:ascii="Palatino" w:hAnsi="Palatino"/>
        </w:rPr>
        <w:t>The FEDS Project (Diabetes in American Indian Families):</w:t>
      </w:r>
    </w:p>
    <w:p w14:paraId="4FD05AAA" w14:textId="47EE74E6" w:rsidR="00AA6D79" w:rsidRPr="00AA6D79" w:rsidRDefault="00AA6D79" w:rsidP="00AA6D79">
      <w:pPr>
        <w:rPr>
          <w:rFonts w:ascii="Palatino" w:hAnsi="Palatino"/>
        </w:rPr>
      </w:pPr>
      <w:r w:rsidRPr="00AA6D79">
        <w:rPr>
          <w:rFonts w:ascii="Palatino" w:hAnsi="Palatino"/>
        </w:rPr>
        <w:t xml:space="preserve">Problem: </w:t>
      </w:r>
      <w:r w:rsidRPr="000829D5">
        <w:rPr>
          <w:rFonts w:ascii="Palatino" w:hAnsi="Palatino"/>
          <w:highlight w:val="yellow"/>
        </w:rPr>
        <w:t>High prevalence of diabetes</w:t>
      </w:r>
      <w:r w:rsidRPr="00AA6D79">
        <w:rPr>
          <w:rFonts w:ascii="Palatino" w:hAnsi="Palatino"/>
        </w:rPr>
        <w:t xml:space="preserve">, a sense of </w:t>
      </w:r>
      <w:r w:rsidRPr="005933E7">
        <w:rPr>
          <w:rFonts w:ascii="Palatino" w:hAnsi="Palatino"/>
          <w:highlight w:val="yellow"/>
        </w:rPr>
        <w:t>cultural defeat</w:t>
      </w:r>
      <w:r w:rsidRPr="00AA6D79">
        <w:rPr>
          <w:rFonts w:ascii="Palatino" w:hAnsi="Palatino"/>
        </w:rPr>
        <w:t xml:space="preserve">, and the failure of </w:t>
      </w:r>
      <w:r w:rsidRPr="005933E7">
        <w:rPr>
          <w:rFonts w:ascii="Palatino" w:hAnsi="Palatino"/>
          <w:highlight w:val="yellow"/>
        </w:rPr>
        <w:t>conventional top-down care</w:t>
      </w:r>
      <w:r w:rsidRPr="00AA6D79">
        <w:rPr>
          <w:rFonts w:ascii="Palatino" w:hAnsi="Palatino"/>
        </w:rPr>
        <w:t>.</w:t>
      </w:r>
    </w:p>
    <w:p w14:paraId="4F3344AC" w14:textId="22077E93" w:rsidR="00AA6D79" w:rsidRPr="00AA6D79" w:rsidRDefault="00AA6D79" w:rsidP="00AA6D79">
      <w:pPr>
        <w:rPr>
          <w:rFonts w:ascii="Palatino" w:hAnsi="Palatino"/>
        </w:rPr>
      </w:pPr>
      <w:r w:rsidRPr="00AA6D79">
        <w:rPr>
          <w:rFonts w:ascii="Palatino" w:hAnsi="Palatino"/>
        </w:rPr>
        <w:t xml:space="preserve">CBPR Solution: A family-centered, </w:t>
      </w:r>
      <w:proofErr w:type="gramStart"/>
      <w:r w:rsidRPr="00AA6D79">
        <w:rPr>
          <w:rFonts w:ascii="Palatino" w:hAnsi="Palatino"/>
        </w:rPr>
        <w:t>culturally-grounded</w:t>
      </w:r>
      <w:proofErr w:type="gramEnd"/>
      <w:r w:rsidRPr="00AA6D79">
        <w:rPr>
          <w:rFonts w:ascii="Palatino" w:hAnsi="Palatino"/>
        </w:rPr>
        <w:t xml:space="preserve"> series combining fellowship, </w:t>
      </w:r>
      <w:r w:rsidRPr="005933E7">
        <w:rPr>
          <w:rFonts w:ascii="Palatino" w:hAnsi="Palatino"/>
          <w:highlight w:val="yellow"/>
        </w:rPr>
        <w:t>shared meal preparation</w:t>
      </w:r>
      <w:r w:rsidRPr="00AA6D79">
        <w:rPr>
          <w:rFonts w:ascii="Palatino" w:hAnsi="Palatino"/>
        </w:rPr>
        <w:t xml:space="preserve">, </w:t>
      </w:r>
      <w:r w:rsidRPr="005933E7">
        <w:rPr>
          <w:rFonts w:ascii="Palatino" w:hAnsi="Palatino"/>
          <w:highlight w:val="yellow"/>
        </w:rPr>
        <w:t>education in talking circles</w:t>
      </w:r>
      <w:r w:rsidRPr="00AA6D79">
        <w:rPr>
          <w:rFonts w:ascii="Palatino" w:hAnsi="Palatino"/>
        </w:rPr>
        <w:t xml:space="preserve">, and </w:t>
      </w:r>
      <w:r w:rsidRPr="005933E7">
        <w:rPr>
          <w:rFonts w:ascii="Palatino" w:hAnsi="Palatino"/>
          <w:highlight w:val="yellow"/>
        </w:rPr>
        <w:t>holistic health checks</w:t>
      </w:r>
      <w:r w:rsidRPr="00AA6D79">
        <w:rPr>
          <w:rFonts w:ascii="Palatino" w:hAnsi="Palatino"/>
        </w:rPr>
        <w:t>.</w:t>
      </w:r>
    </w:p>
    <w:p w14:paraId="7CDE4C27" w14:textId="77777777" w:rsidR="00AA6D79" w:rsidRPr="00AA6D79" w:rsidRDefault="00AA6D79" w:rsidP="00AA6D79">
      <w:pPr>
        <w:rPr>
          <w:rFonts w:ascii="Palatino" w:hAnsi="Palatino"/>
        </w:rPr>
      </w:pPr>
      <w:r w:rsidRPr="00AA6D79">
        <w:rPr>
          <w:rFonts w:ascii="Palatino" w:hAnsi="Palatino"/>
        </w:rPr>
        <w:t xml:space="preserve">Key Insight: The research process itself was collaboratively designed. The community partners identified a culturally insensitive question on a psychosocial assessment, and its removal was crucial for </w:t>
      </w:r>
      <w:r w:rsidRPr="005933E7">
        <w:rPr>
          <w:rFonts w:ascii="Palatino" w:hAnsi="Palatino"/>
          <w:highlight w:val="yellow"/>
        </w:rPr>
        <w:t>building trust and ensuring participation</w:t>
      </w:r>
      <w:r w:rsidRPr="00AA6D79">
        <w:rPr>
          <w:rFonts w:ascii="Palatino" w:hAnsi="Palatino"/>
        </w:rPr>
        <w:t>. This exemplifies the "</w:t>
      </w:r>
      <w:r w:rsidRPr="005933E7">
        <w:rPr>
          <w:rFonts w:ascii="Palatino" w:hAnsi="Palatino"/>
          <w:highlight w:val="yellow"/>
        </w:rPr>
        <w:t>co-creation of research</w:t>
      </w:r>
      <w:r w:rsidRPr="00AA6D79">
        <w:rPr>
          <w:rFonts w:ascii="Palatino" w:hAnsi="Palatino"/>
        </w:rPr>
        <w:t>" in real-time.</w:t>
      </w:r>
    </w:p>
    <w:p w14:paraId="771C73EB" w14:textId="77777777" w:rsidR="00AA6D79" w:rsidRPr="00AA6D79" w:rsidRDefault="00AA6D79" w:rsidP="00AA6D79">
      <w:pPr>
        <w:rPr>
          <w:rFonts w:ascii="Palatino" w:hAnsi="Palatino"/>
        </w:rPr>
      </w:pPr>
    </w:p>
    <w:p w14:paraId="1997F30A" w14:textId="77777777" w:rsidR="00AA6D79" w:rsidRPr="00AA6D79" w:rsidRDefault="00AA6D79" w:rsidP="00AA6D79">
      <w:pPr>
        <w:rPr>
          <w:rFonts w:ascii="Palatino" w:hAnsi="Palatino"/>
        </w:rPr>
      </w:pPr>
      <w:r w:rsidRPr="00AA6D79">
        <w:rPr>
          <w:rFonts w:ascii="Palatino" w:hAnsi="Palatino"/>
        </w:rPr>
        <w:t>4. Critical Examination of the CBPR Process</w:t>
      </w:r>
    </w:p>
    <w:p w14:paraId="1D722201" w14:textId="69BE67F0" w:rsidR="00AA6D79" w:rsidRPr="00AA6D79" w:rsidRDefault="00AA6D79" w:rsidP="00AA6D79">
      <w:pPr>
        <w:rPr>
          <w:rFonts w:ascii="Palatino" w:hAnsi="Palatino"/>
        </w:rPr>
      </w:pPr>
      <w:r w:rsidRPr="00AA6D79">
        <w:rPr>
          <w:rFonts w:ascii="Palatino" w:hAnsi="Palatino"/>
        </w:rPr>
        <w:lastRenderedPageBreak/>
        <w:t>The article does not shy away from the challenges and complexities of CBPR, providing a balanced view.</w:t>
      </w:r>
    </w:p>
    <w:p w14:paraId="17430B17" w14:textId="50969FCC" w:rsidR="00AA6D79" w:rsidRPr="00AA6D79" w:rsidRDefault="00AA6D79" w:rsidP="005933E7">
      <w:pPr>
        <w:rPr>
          <w:rFonts w:ascii="Palatino" w:hAnsi="Palatino"/>
        </w:rPr>
      </w:pPr>
      <w:r w:rsidRPr="00AA6D79">
        <w:rPr>
          <w:rFonts w:ascii="Palatino" w:hAnsi="Palatino"/>
        </w:rPr>
        <w:t>Strengths:</w:t>
      </w:r>
    </w:p>
    <w:p w14:paraId="4ECBFFB8" w14:textId="48A64072" w:rsidR="00AA6D79" w:rsidRPr="00AA6D79" w:rsidRDefault="00AA6D79" w:rsidP="00AA6D79">
      <w:pPr>
        <w:rPr>
          <w:rFonts w:ascii="Palatino" w:hAnsi="Palatino"/>
        </w:rPr>
      </w:pPr>
      <w:r w:rsidRPr="005933E7">
        <w:rPr>
          <w:rFonts w:ascii="Palatino" w:hAnsi="Palatino"/>
          <w:highlight w:val="yellow"/>
        </w:rPr>
        <w:t>Bridging the Research-Practice Gap</w:t>
      </w:r>
      <w:r w:rsidRPr="00AA6D79">
        <w:rPr>
          <w:rFonts w:ascii="Palatino" w:hAnsi="Palatino"/>
        </w:rPr>
        <w:t>: Interventions are immediately relevant and implemented in the "real world."</w:t>
      </w:r>
    </w:p>
    <w:p w14:paraId="36B66DEF" w14:textId="2D034296" w:rsidR="00AA6D79" w:rsidRPr="00AA6D79" w:rsidRDefault="00AA6D79" w:rsidP="00AA6D79">
      <w:pPr>
        <w:rPr>
          <w:rFonts w:ascii="Palatino" w:hAnsi="Palatino"/>
        </w:rPr>
      </w:pPr>
      <w:r w:rsidRPr="005933E7">
        <w:rPr>
          <w:rFonts w:ascii="Palatino" w:hAnsi="Palatino"/>
          <w:highlight w:val="yellow"/>
        </w:rPr>
        <w:t>Sustainability</w:t>
      </w:r>
      <w:r w:rsidRPr="00AA6D79">
        <w:rPr>
          <w:rFonts w:ascii="Palatino" w:hAnsi="Palatino"/>
        </w:rPr>
        <w:t xml:space="preserve">: Built on local resources and ownership, projects are more likely to last beyond </w:t>
      </w:r>
      <w:r w:rsidRPr="009D344C">
        <w:rPr>
          <w:rFonts w:ascii="Palatino" w:hAnsi="Palatino"/>
          <w:highlight w:val="yellow"/>
        </w:rPr>
        <w:t>external grant funding</w:t>
      </w:r>
      <w:r w:rsidRPr="00AA6D79">
        <w:rPr>
          <w:rFonts w:ascii="Palatino" w:hAnsi="Palatino"/>
        </w:rPr>
        <w:t>.</w:t>
      </w:r>
    </w:p>
    <w:p w14:paraId="2C519319" w14:textId="711E40EB" w:rsidR="00AA6D79" w:rsidRPr="00AA6D79" w:rsidRDefault="00AA6D79" w:rsidP="00AA6D79">
      <w:pPr>
        <w:rPr>
          <w:rFonts w:ascii="Palatino" w:hAnsi="Palatino"/>
        </w:rPr>
      </w:pPr>
      <w:r w:rsidRPr="009D344C">
        <w:rPr>
          <w:rFonts w:ascii="Palatino" w:hAnsi="Palatino"/>
          <w:highlight w:val="yellow"/>
        </w:rPr>
        <w:t>Empowerment</w:t>
      </w:r>
      <w:r w:rsidRPr="00AA6D79">
        <w:rPr>
          <w:rFonts w:ascii="Palatino" w:hAnsi="Palatino"/>
        </w:rPr>
        <w:t>: Transforms participants from passive recipients to active leaders, creating lasting capacity within the community.</w:t>
      </w:r>
    </w:p>
    <w:p w14:paraId="1669B44B" w14:textId="30AD5BB4" w:rsidR="00AA6D79" w:rsidRPr="00AA6D79" w:rsidRDefault="00AA6D79" w:rsidP="00AA6D79">
      <w:pPr>
        <w:rPr>
          <w:rFonts w:ascii="Palatino" w:hAnsi="Palatino"/>
        </w:rPr>
      </w:pPr>
      <w:r w:rsidRPr="00AA6D79">
        <w:rPr>
          <w:rFonts w:ascii="Palatino" w:hAnsi="Palatino"/>
        </w:rPr>
        <w:t>Weaknesses &amp; Challenges:</w:t>
      </w:r>
    </w:p>
    <w:p w14:paraId="70208615" w14:textId="05A3C443" w:rsidR="00AA6D79" w:rsidRPr="00AA6D79" w:rsidRDefault="00AA6D79" w:rsidP="00AA6D79">
      <w:pPr>
        <w:rPr>
          <w:rFonts w:ascii="Palatino" w:hAnsi="Palatino"/>
        </w:rPr>
      </w:pPr>
      <w:r w:rsidRPr="009D344C">
        <w:rPr>
          <w:rFonts w:ascii="Palatino" w:hAnsi="Palatino"/>
          <w:highlight w:val="yellow"/>
        </w:rPr>
        <w:t>"Slow and Messy":</w:t>
      </w:r>
      <w:r w:rsidRPr="00AA6D79">
        <w:rPr>
          <w:rFonts w:ascii="Palatino" w:hAnsi="Palatino"/>
        </w:rPr>
        <w:t xml:space="preserve"> The iterative, democratic process is time-consuming and </w:t>
      </w:r>
      <w:r w:rsidRPr="009D344C">
        <w:rPr>
          <w:rFonts w:ascii="Palatino" w:hAnsi="Palatino"/>
          <w:highlight w:val="yellow"/>
        </w:rPr>
        <w:t>lacks</w:t>
      </w:r>
      <w:r w:rsidRPr="00AA6D79">
        <w:rPr>
          <w:rFonts w:ascii="Palatino" w:hAnsi="Palatino"/>
        </w:rPr>
        <w:t xml:space="preserve"> the </w:t>
      </w:r>
      <w:r w:rsidRPr="009D344C">
        <w:rPr>
          <w:rFonts w:ascii="Palatino" w:hAnsi="Palatino"/>
          <w:highlight w:val="yellow"/>
        </w:rPr>
        <w:t>predictability</w:t>
      </w:r>
      <w:r w:rsidRPr="00AA6D79">
        <w:rPr>
          <w:rFonts w:ascii="Palatino" w:hAnsi="Palatino"/>
        </w:rPr>
        <w:t xml:space="preserve"> of </w:t>
      </w:r>
      <w:r w:rsidRPr="009D344C">
        <w:rPr>
          <w:rFonts w:ascii="Palatino" w:hAnsi="Palatino"/>
          <w:highlight w:val="yellow"/>
        </w:rPr>
        <w:t>traditional</w:t>
      </w:r>
      <w:r w:rsidRPr="00AA6D79">
        <w:rPr>
          <w:rFonts w:ascii="Palatino" w:hAnsi="Palatino"/>
        </w:rPr>
        <w:t xml:space="preserve"> randomized controlled trials (RCTs).</w:t>
      </w:r>
    </w:p>
    <w:p w14:paraId="5A3378D1" w14:textId="76ACF6D5" w:rsidR="00AA6D79" w:rsidRPr="00AA6D79" w:rsidRDefault="00AA6D79" w:rsidP="00AA6D79">
      <w:pPr>
        <w:rPr>
          <w:rFonts w:ascii="Palatino" w:hAnsi="Palatino"/>
        </w:rPr>
      </w:pPr>
      <w:r w:rsidRPr="009D344C">
        <w:rPr>
          <w:rFonts w:ascii="Palatino" w:hAnsi="Palatino"/>
          <w:highlight w:val="yellow"/>
        </w:rPr>
        <w:t>Institutional Hurdles</w:t>
      </w:r>
      <w:r w:rsidRPr="00AA6D79">
        <w:rPr>
          <w:rFonts w:ascii="Palatino" w:hAnsi="Palatino"/>
        </w:rPr>
        <w:t xml:space="preserve">: University Institutional Review Boards (IRBs) often struggle with the fluid, </w:t>
      </w:r>
      <w:r w:rsidRPr="009D344C">
        <w:rPr>
          <w:rFonts w:ascii="Palatino" w:hAnsi="Palatino"/>
          <w:highlight w:val="yellow"/>
        </w:rPr>
        <w:t>co-created nature of CBPR</w:t>
      </w:r>
      <w:r w:rsidRPr="00AA6D79">
        <w:rPr>
          <w:rFonts w:ascii="Palatino" w:hAnsi="Palatino"/>
        </w:rPr>
        <w:t>, particularly regarding informed consent and confidentiality.</w:t>
      </w:r>
    </w:p>
    <w:p w14:paraId="64A71035" w14:textId="648647EE" w:rsidR="00AA6D79" w:rsidRPr="00AA6D79" w:rsidRDefault="00AA6D79" w:rsidP="00AA6D79">
      <w:pPr>
        <w:rPr>
          <w:rFonts w:ascii="Palatino" w:hAnsi="Palatino"/>
        </w:rPr>
      </w:pPr>
      <w:r w:rsidRPr="009D344C">
        <w:rPr>
          <w:rFonts w:ascii="Palatino" w:hAnsi="Palatino"/>
          <w:highlight w:val="yellow"/>
        </w:rPr>
        <w:t>Funding</w:t>
      </w:r>
      <w:r w:rsidRPr="00AA6D79">
        <w:rPr>
          <w:rFonts w:ascii="Palatino" w:hAnsi="Palatino"/>
        </w:rPr>
        <w:t xml:space="preserve">: Granting agencies traditionally prefer tightly </w:t>
      </w:r>
      <w:r w:rsidRPr="009D344C">
        <w:rPr>
          <w:rFonts w:ascii="Palatino" w:hAnsi="Palatino"/>
          <w:highlight w:val="yellow"/>
        </w:rPr>
        <w:t>controlled proposals</w:t>
      </w:r>
      <w:r w:rsidRPr="00AA6D79">
        <w:rPr>
          <w:rFonts w:ascii="Palatino" w:hAnsi="Palatino"/>
        </w:rPr>
        <w:t xml:space="preserve"> with predetermined deliverables, which conflicts with CBPR's emergent design.</w:t>
      </w:r>
    </w:p>
    <w:p w14:paraId="31D49786" w14:textId="77777777" w:rsidR="00AA6D79" w:rsidRDefault="00AA6D79" w:rsidP="00AA6D79">
      <w:pPr>
        <w:rPr>
          <w:rFonts w:ascii="Palatino" w:hAnsi="Palatino"/>
        </w:rPr>
      </w:pPr>
    </w:p>
    <w:p w14:paraId="7825A7C1" w14:textId="202B226E" w:rsidR="00AA6D79" w:rsidRPr="00AA6D79" w:rsidRDefault="00AA6D79" w:rsidP="00AA6D79">
      <w:pPr>
        <w:rPr>
          <w:rFonts w:ascii="Palatino" w:hAnsi="Palatino"/>
        </w:rPr>
      </w:pPr>
      <w:r w:rsidRPr="00AA6D79">
        <w:rPr>
          <w:rFonts w:ascii="Palatino" w:hAnsi="Palatino"/>
        </w:rPr>
        <w:t>5. Key Lessons and Future Directions</w:t>
      </w:r>
    </w:p>
    <w:p w14:paraId="6A3FF250" w14:textId="0E826DB9" w:rsidR="00AA6D79" w:rsidRPr="00AA6D79" w:rsidRDefault="00AA6D79" w:rsidP="00AA6D79">
      <w:pPr>
        <w:rPr>
          <w:rFonts w:ascii="Palatino" w:hAnsi="Palatino"/>
        </w:rPr>
      </w:pPr>
      <w:r w:rsidRPr="00AA6D79">
        <w:rPr>
          <w:rFonts w:ascii="Palatino" w:hAnsi="Palatino"/>
        </w:rPr>
        <w:t>The "Lessons Learned" (Table 3) are arguably the most valuable part of the paper for a practitioner. They are earned wisdom from experience:</w:t>
      </w:r>
    </w:p>
    <w:p w14:paraId="55E32C8B" w14:textId="3CB81A24" w:rsidR="00AA6D79" w:rsidRPr="00AA6D79" w:rsidRDefault="00AA6D79" w:rsidP="00AA6D79">
      <w:pPr>
        <w:rPr>
          <w:rFonts w:ascii="Palatino" w:hAnsi="Palatino"/>
        </w:rPr>
      </w:pPr>
      <w:r w:rsidRPr="00AA6D79">
        <w:rPr>
          <w:rFonts w:ascii="Palatino" w:hAnsi="Palatino"/>
        </w:rPr>
        <w:t xml:space="preserve">It's about </w:t>
      </w:r>
      <w:r w:rsidRPr="00F26F85">
        <w:rPr>
          <w:rFonts w:ascii="Palatino" w:hAnsi="Palatino"/>
          <w:highlight w:val="yellow"/>
        </w:rPr>
        <w:t>identity transformation</w:t>
      </w:r>
      <w:r w:rsidRPr="00AA6D79">
        <w:rPr>
          <w:rFonts w:ascii="Palatino" w:hAnsi="Palatino"/>
        </w:rPr>
        <w:t xml:space="preserve"> (becoming a "</w:t>
      </w:r>
      <w:r w:rsidRPr="00F26F85">
        <w:rPr>
          <w:rFonts w:ascii="Palatino" w:hAnsi="Palatino"/>
          <w:highlight w:val="yellow"/>
        </w:rPr>
        <w:t>citizen professional</w:t>
      </w:r>
      <w:r w:rsidRPr="00AA6D79">
        <w:rPr>
          <w:rFonts w:ascii="Palatino" w:hAnsi="Palatino"/>
        </w:rPr>
        <w:t xml:space="preserve">") and </w:t>
      </w:r>
      <w:r w:rsidRPr="00F26F85">
        <w:rPr>
          <w:rFonts w:ascii="Palatino" w:hAnsi="Palatino"/>
          <w:highlight w:val="yellow"/>
        </w:rPr>
        <w:t>leadership development</w:t>
      </w:r>
      <w:r w:rsidRPr="00AA6D79">
        <w:rPr>
          <w:rFonts w:ascii="Palatino" w:hAnsi="Palatino"/>
        </w:rPr>
        <w:t>, not just executing a project.</w:t>
      </w:r>
    </w:p>
    <w:p w14:paraId="704E5F0F" w14:textId="7DCF98F0" w:rsidR="00AA6D79" w:rsidRPr="00AA6D79" w:rsidRDefault="00AA6D79" w:rsidP="00AA6D79">
      <w:pPr>
        <w:rPr>
          <w:rFonts w:ascii="Palatino" w:hAnsi="Palatino"/>
        </w:rPr>
      </w:pPr>
      <w:r w:rsidRPr="00AA6D79">
        <w:rPr>
          <w:rFonts w:ascii="Palatino" w:hAnsi="Palatino"/>
        </w:rPr>
        <w:t xml:space="preserve">A </w:t>
      </w:r>
      <w:r w:rsidRPr="00F26F85">
        <w:rPr>
          <w:rFonts w:ascii="Palatino" w:hAnsi="Palatino"/>
          <w:highlight w:val="yellow"/>
        </w:rPr>
        <w:t>champion</w:t>
      </w:r>
      <w:r w:rsidRPr="00AA6D79">
        <w:rPr>
          <w:rFonts w:ascii="Palatino" w:hAnsi="Palatino"/>
        </w:rPr>
        <w:t xml:space="preserve"> within the institution is essential for support and protection.</w:t>
      </w:r>
    </w:p>
    <w:p w14:paraId="1C4E02A8" w14:textId="3200DADC" w:rsidR="00AA6D79" w:rsidRPr="00AA6D79" w:rsidRDefault="00AA6D79" w:rsidP="00AA6D79">
      <w:pPr>
        <w:rPr>
          <w:rFonts w:ascii="Palatino" w:hAnsi="Palatino"/>
        </w:rPr>
      </w:pPr>
      <w:r w:rsidRPr="00AA6D79">
        <w:rPr>
          <w:rFonts w:ascii="Palatino" w:hAnsi="Palatino"/>
        </w:rPr>
        <w:t xml:space="preserve">The pull of the traditional </w:t>
      </w:r>
      <w:r w:rsidRPr="00B52EEC">
        <w:rPr>
          <w:rFonts w:ascii="Palatino" w:hAnsi="Palatino"/>
          <w:highlight w:val="yellow"/>
        </w:rPr>
        <w:t>provider-consumer</w:t>
      </w:r>
      <w:r w:rsidRPr="00AA6D79">
        <w:rPr>
          <w:rFonts w:ascii="Palatino" w:hAnsi="Palatino"/>
        </w:rPr>
        <w:t xml:space="preserve"> model is "very strong on all sides," </w:t>
      </w:r>
      <w:r w:rsidR="00B52EEC">
        <w:rPr>
          <w:rFonts w:ascii="Palatino" w:hAnsi="Palatino"/>
        </w:rPr>
        <w:t>is challenging</w:t>
      </w:r>
      <w:r w:rsidRPr="00AA6D79">
        <w:rPr>
          <w:rFonts w:ascii="Palatino" w:hAnsi="Palatino"/>
        </w:rPr>
        <w:t xml:space="preserve"> to maintain a democratic process.</w:t>
      </w:r>
    </w:p>
    <w:p w14:paraId="6A572B4C" w14:textId="1571E942" w:rsidR="00AA6D79" w:rsidRPr="00AA6D79" w:rsidRDefault="00AA6D79" w:rsidP="00AA6D79">
      <w:pPr>
        <w:rPr>
          <w:rFonts w:ascii="Palatino" w:hAnsi="Palatino"/>
        </w:rPr>
      </w:pPr>
      <w:r w:rsidRPr="00AA6D79">
        <w:rPr>
          <w:rFonts w:ascii="Palatino" w:hAnsi="Palatino"/>
        </w:rPr>
        <w:t xml:space="preserve">It cannot be learned without </w:t>
      </w:r>
      <w:r w:rsidRPr="00F26F85">
        <w:rPr>
          <w:rFonts w:ascii="Palatino" w:hAnsi="Palatino"/>
          <w:highlight w:val="yellow"/>
        </w:rPr>
        <w:t>mentoring</w:t>
      </w:r>
      <w:r w:rsidRPr="00AA6D79">
        <w:rPr>
          <w:rFonts w:ascii="Palatino" w:hAnsi="Palatino"/>
        </w:rPr>
        <w:t xml:space="preserve"> and takes significant time to master.</w:t>
      </w:r>
    </w:p>
    <w:p w14:paraId="7AE7B0E9" w14:textId="4E0E50E8" w:rsidR="00AA6D79" w:rsidRPr="00AA6D79" w:rsidRDefault="00AA6D79" w:rsidP="00AA6D79">
      <w:pPr>
        <w:rPr>
          <w:rFonts w:ascii="Palatino" w:hAnsi="Palatino"/>
        </w:rPr>
      </w:pPr>
      <w:r w:rsidRPr="00AA6D79">
        <w:rPr>
          <w:rFonts w:ascii="Palatino" w:hAnsi="Palatino"/>
        </w:rPr>
        <w:t xml:space="preserve">The future directions call for </w:t>
      </w:r>
      <w:r w:rsidRPr="00F26F85">
        <w:rPr>
          <w:rFonts w:ascii="Palatino" w:hAnsi="Palatino"/>
          <w:highlight w:val="yellow"/>
        </w:rPr>
        <w:t>increased multidisciplinary collaboration, greater inclusion of CBPR in graduate education, more visibility in professional publications, and continued advocacy for acceptance by grant funders</w:t>
      </w:r>
      <w:r w:rsidRPr="00AA6D79">
        <w:rPr>
          <w:rFonts w:ascii="Palatino" w:hAnsi="Palatino"/>
        </w:rPr>
        <w:t>.</w:t>
      </w:r>
    </w:p>
    <w:p w14:paraId="64E402FC" w14:textId="77777777" w:rsidR="00F26F85" w:rsidRDefault="00F26F85" w:rsidP="00AA6D79">
      <w:pPr>
        <w:rPr>
          <w:rFonts w:ascii="Palatino" w:hAnsi="Palatino"/>
        </w:rPr>
      </w:pPr>
    </w:p>
    <w:p w14:paraId="0DB33B74" w14:textId="77777777" w:rsidR="00F26F85" w:rsidRDefault="00F26F85" w:rsidP="00AA6D79">
      <w:pPr>
        <w:rPr>
          <w:rFonts w:ascii="Palatino" w:hAnsi="Palatino"/>
        </w:rPr>
      </w:pPr>
    </w:p>
    <w:p w14:paraId="257AD6F4" w14:textId="1A536E17" w:rsidR="00AA6D79" w:rsidRPr="00AA6D79" w:rsidRDefault="00AA6D79" w:rsidP="00AA6D79">
      <w:pPr>
        <w:rPr>
          <w:rFonts w:ascii="Palatino" w:hAnsi="Palatino"/>
        </w:rPr>
      </w:pPr>
      <w:r w:rsidRPr="00AA6D79">
        <w:rPr>
          <w:rFonts w:ascii="Palatino" w:hAnsi="Palatino"/>
        </w:rPr>
        <w:lastRenderedPageBreak/>
        <w:t>Overall Synthesis and Significance</w:t>
      </w:r>
    </w:p>
    <w:p w14:paraId="74950F4D" w14:textId="77777777" w:rsidR="00AA6D79" w:rsidRPr="00AA6D79" w:rsidRDefault="00AA6D79" w:rsidP="00AA6D79">
      <w:pPr>
        <w:rPr>
          <w:rFonts w:ascii="Palatino" w:hAnsi="Palatino"/>
        </w:rPr>
      </w:pPr>
      <w:r w:rsidRPr="00AA6D79">
        <w:rPr>
          <w:rFonts w:ascii="Palatino" w:hAnsi="Palatino"/>
        </w:rPr>
        <w:t xml:space="preserve">This article is a foundational text because it successfully argues that CBPR is not merely an "add-on" method but a necessary paradigm </w:t>
      </w:r>
      <w:proofErr w:type="gramStart"/>
      <w:r w:rsidRPr="00AA6D79">
        <w:rPr>
          <w:rFonts w:ascii="Palatino" w:hAnsi="Palatino"/>
        </w:rPr>
        <w:t>shift</w:t>
      </w:r>
      <w:proofErr w:type="gramEnd"/>
      <w:r w:rsidRPr="00AA6D79">
        <w:rPr>
          <w:rFonts w:ascii="Palatino" w:hAnsi="Palatino"/>
        </w:rPr>
        <w:t xml:space="preserve"> for effectively addressing persistent health disparities, particularly those involving families and chronic illness.</w:t>
      </w:r>
    </w:p>
    <w:p w14:paraId="1578F3D0" w14:textId="77777777" w:rsidR="00AA6D79" w:rsidRPr="00AA6D79" w:rsidRDefault="00AA6D79" w:rsidP="00AA6D79">
      <w:pPr>
        <w:rPr>
          <w:rFonts w:ascii="Palatino" w:hAnsi="Palatino"/>
        </w:rPr>
      </w:pPr>
    </w:p>
    <w:p w14:paraId="5C2E2955" w14:textId="77777777" w:rsidR="00AA6D79" w:rsidRPr="00AA6D79" w:rsidRDefault="00AA6D79" w:rsidP="00AA6D79">
      <w:pPr>
        <w:rPr>
          <w:rFonts w:ascii="Palatino" w:hAnsi="Palatino"/>
        </w:rPr>
      </w:pPr>
      <w:r w:rsidRPr="00AA6D79">
        <w:rPr>
          <w:rFonts w:ascii="Palatino" w:hAnsi="Palatino"/>
        </w:rPr>
        <w:t>Its greatest strength is the seamless weaving of theory (the CBPR tenets and Citizen Model), practice (the detailed action strategies), and concrete illustration (the ANGELS and FEDS case studies). It proves that CBPR is rigorous, feasible, and profoundly effective at creating interventions that are culturally resonant, sustainable, and empowering for the communities they are designed to serve. It makes a compelling case that for research to be truly impactful in the complex world of family health, the community must be in the driver's seat, with researchers acting as facilitators and partners.</w:t>
      </w:r>
    </w:p>
    <w:p w14:paraId="1F0FFDFE" w14:textId="77777777" w:rsidR="000A79D8" w:rsidRPr="00AA6D79" w:rsidRDefault="000A79D8">
      <w:pPr>
        <w:rPr>
          <w:rFonts w:ascii="Palatino" w:hAnsi="Palatino"/>
        </w:rPr>
      </w:pPr>
    </w:p>
    <w:sectPr w:rsidR="000A79D8" w:rsidRPr="00AA6D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CD7EA" w14:textId="77777777" w:rsidR="0054102C" w:rsidRDefault="0054102C" w:rsidP="00AA6D79">
      <w:pPr>
        <w:spacing w:after="0" w:line="240" w:lineRule="auto"/>
      </w:pPr>
      <w:r>
        <w:separator/>
      </w:r>
    </w:p>
  </w:endnote>
  <w:endnote w:type="continuationSeparator" w:id="0">
    <w:p w14:paraId="4BB17E86" w14:textId="77777777" w:rsidR="0054102C" w:rsidRDefault="0054102C" w:rsidP="00AA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1A8AD" w14:textId="77777777" w:rsidR="0054102C" w:rsidRDefault="0054102C" w:rsidP="00AA6D79">
      <w:pPr>
        <w:spacing w:after="0" w:line="240" w:lineRule="auto"/>
      </w:pPr>
      <w:r>
        <w:separator/>
      </w:r>
    </w:p>
  </w:footnote>
  <w:footnote w:type="continuationSeparator" w:id="0">
    <w:p w14:paraId="506AFA1A" w14:textId="77777777" w:rsidR="0054102C" w:rsidRDefault="0054102C" w:rsidP="00AA6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6208" w14:textId="286A6E25" w:rsidR="00AA6D79" w:rsidRDefault="00AA6D79">
    <w:pPr>
      <w:pStyle w:val="Header"/>
    </w:pPr>
    <w:r>
      <w:t>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79"/>
    <w:rsid w:val="000829D5"/>
    <w:rsid w:val="000A79D8"/>
    <w:rsid w:val="004932B3"/>
    <w:rsid w:val="0054102C"/>
    <w:rsid w:val="005933E7"/>
    <w:rsid w:val="005C7D58"/>
    <w:rsid w:val="00811F14"/>
    <w:rsid w:val="00825FCF"/>
    <w:rsid w:val="008F4C5D"/>
    <w:rsid w:val="009D344C"/>
    <w:rsid w:val="00AA6D79"/>
    <w:rsid w:val="00B52EEC"/>
    <w:rsid w:val="00C65BE4"/>
    <w:rsid w:val="00F26F85"/>
    <w:rsid w:val="00FD5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A090B81"/>
  <w15:chartTrackingRefBased/>
  <w15:docId w15:val="{E604D7D4-F2F5-2A48-BD68-67B2B3FA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D79"/>
    <w:rPr>
      <w:rFonts w:eastAsiaTheme="majorEastAsia" w:cstheme="majorBidi"/>
      <w:color w:val="272727" w:themeColor="text1" w:themeTint="D8"/>
    </w:rPr>
  </w:style>
  <w:style w:type="paragraph" w:styleId="Title">
    <w:name w:val="Title"/>
    <w:basedOn w:val="Normal"/>
    <w:next w:val="Normal"/>
    <w:link w:val="TitleChar"/>
    <w:uiPriority w:val="10"/>
    <w:qFormat/>
    <w:rsid w:val="00AA6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D79"/>
    <w:pPr>
      <w:spacing w:before="160"/>
      <w:jc w:val="center"/>
    </w:pPr>
    <w:rPr>
      <w:i/>
      <w:iCs/>
      <w:color w:val="404040" w:themeColor="text1" w:themeTint="BF"/>
    </w:rPr>
  </w:style>
  <w:style w:type="character" w:customStyle="1" w:styleId="QuoteChar">
    <w:name w:val="Quote Char"/>
    <w:basedOn w:val="DefaultParagraphFont"/>
    <w:link w:val="Quote"/>
    <w:uiPriority w:val="29"/>
    <w:rsid w:val="00AA6D79"/>
    <w:rPr>
      <w:i/>
      <w:iCs/>
      <w:color w:val="404040" w:themeColor="text1" w:themeTint="BF"/>
    </w:rPr>
  </w:style>
  <w:style w:type="paragraph" w:styleId="ListParagraph">
    <w:name w:val="List Paragraph"/>
    <w:basedOn w:val="Normal"/>
    <w:uiPriority w:val="34"/>
    <w:qFormat/>
    <w:rsid w:val="00AA6D79"/>
    <w:pPr>
      <w:ind w:left="720"/>
      <w:contextualSpacing/>
    </w:pPr>
  </w:style>
  <w:style w:type="character" w:styleId="IntenseEmphasis">
    <w:name w:val="Intense Emphasis"/>
    <w:basedOn w:val="DefaultParagraphFont"/>
    <w:uiPriority w:val="21"/>
    <w:qFormat/>
    <w:rsid w:val="00AA6D79"/>
    <w:rPr>
      <w:i/>
      <w:iCs/>
      <w:color w:val="0F4761" w:themeColor="accent1" w:themeShade="BF"/>
    </w:rPr>
  </w:style>
  <w:style w:type="paragraph" w:styleId="IntenseQuote">
    <w:name w:val="Intense Quote"/>
    <w:basedOn w:val="Normal"/>
    <w:next w:val="Normal"/>
    <w:link w:val="IntenseQuoteChar"/>
    <w:uiPriority w:val="30"/>
    <w:qFormat/>
    <w:rsid w:val="00AA6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D79"/>
    <w:rPr>
      <w:i/>
      <w:iCs/>
      <w:color w:val="0F4761" w:themeColor="accent1" w:themeShade="BF"/>
    </w:rPr>
  </w:style>
  <w:style w:type="character" w:styleId="IntenseReference">
    <w:name w:val="Intense Reference"/>
    <w:basedOn w:val="DefaultParagraphFont"/>
    <w:uiPriority w:val="32"/>
    <w:qFormat/>
    <w:rsid w:val="00AA6D79"/>
    <w:rPr>
      <w:b/>
      <w:bCs/>
      <w:smallCaps/>
      <w:color w:val="0F4761" w:themeColor="accent1" w:themeShade="BF"/>
      <w:spacing w:val="5"/>
    </w:rPr>
  </w:style>
  <w:style w:type="paragraph" w:styleId="Header">
    <w:name w:val="header"/>
    <w:basedOn w:val="Normal"/>
    <w:link w:val="HeaderChar"/>
    <w:uiPriority w:val="99"/>
    <w:unhideWhenUsed/>
    <w:rsid w:val="00AA6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D79"/>
  </w:style>
  <w:style w:type="paragraph" w:styleId="Footer">
    <w:name w:val="footer"/>
    <w:basedOn w:val="Normal"/>
    <w:link w:val="FooterChar"/>
    <w:uiPriority w:val="99"/>
    <w:unhideWhenUsed/>
    <w:rsid w:val="00AA6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3</cp:revision>
  <dcterms:created xsi:type="dcterms:W3CDTF">2025-09-09T09:41:00Z</dcterms:created>
  <dcterms:modified xsi:type="dcterms:W3CDTF">2025-09-09T12:17:00Z</dcterms:modified>
</cp:coreProperties>
</file>