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C5E59" w14:textId="77777777" w:rsidR="00D84FC1" w:rsidRDefault="00D84FC1" w:rsidP="00D84FC1">
      <w:r>
        <w:t>DIŞ TİCARET İŞLEMLERİ</w:t>
      </w:r>
    </w:p>
    <w:p w14:paraId="5F7CF437" w14:textId="51EFC989" w:rsidR="00D84FC1" w:rsidRDefault="00D84FC1" w:rsidP="00D84FC1">
      <w:r>
        <w:t>ULUSLARARASI TİCARET TEMEL KAVRAMLARI VE ICC BROŞÜRLERİ</w:t>
      </w:r>
    </w:p>
    <w:p w14:paraId="57B1D24C" w14:textId="77777777" w:rsidR="00D84FC1" w:rsidRDefault="00D84FC1" w:rsidP="00D84FC1"/>
    <w:p w14:paraId="5BDD9229" w14:textId="77777777" w:rsidR="00D84FC1" w:rsidRDefault="00D84FC1" w:rsidP="00D84FC1">
      <w:r>
        <w:t>Uluslararası ticaret, uluslararası sınırlar ve bölgeler arasında yapılan mal ve hizmet ticaretidir. Milletlerarası Ticaret Odası yani ICC, farklı ülkelere mensup firmaların dış ticaret işlemlerini standartlaştırmak için birörnek kurallar yayınlamaktadır.</w:t>
      </w:r>
    </w:p>
    <w:p w14:paraId="6AE5F388" w14:textId="77777777" w:rsidR="00D84FC1" w:rsidRDefault="00D84FC1" w:rsidP="00D84FC1">
      <w:r>
        <w:t>Dikkat burası çok kritik! Sınavda ICC broşür numaraları ve karşılıkları adeta banko sorudur. Kesinlikle ezberlemelisin:</w:t>
      </w:r>
    </w:p>
    <w:p w14:paraId="12BC85D8" w14:textId="77777777" w:rsidR="00D84FC1" w:rsidRDefault="00D84FC1" w:rsidP="00D84FC1">
      <w:r>
        <w:t>Tahsil İşlemleri ile ilgili uluslararası kurallar 522 sayılı broşürde yani URC 522'de düzenlenmiştir.</w:t>
      </w:r>
    </w:p>
    <w:p w14:paraId="6567766D" w14:textId="77777777" w:rsidR="00D84FC1" w:rsidRDefault="00D84FC1" w:rsidP="00D84FC1">
      <w:r>
        <w:t>Akreditifli ödemeler ile ilgili kurallar 600 sayılı broşürde yani UCP 600'de düzenlenmiştir.</w:t>
      </w:r>
    </w:p>
    <w:p w14:paraId="4D370DF6" w14:textId="77777777" w:rsidR="00D84FC1" w:rsidRDefault="00D84FC1" w:rsidP="00D84FC1">
      <w:r>
        <w:t>Talep garantileri birörnek kuralları ise 758 sayılı broşürde yani URDG 758'de düzenlenmiştir.</w:t>
      </w:r>
    </w:p>
    <w:p w14:paraId="541F7274" w14:textId="77777777" w:rsidR="00D84FC1" w:rsidRDefault="00D84FC1" w:rsidP="00D84FC1"/>
    <w:p w14:paraId="5576AF0C" w14:textId="77777777" w:rsidR="00D84FC1" w:rsidRDefault="00D84FC1" w:rsidP="00D84FC1">
      <w:r>
        <w:t>Dış ticarette kullanılan temel bankacılık kavramları şunlardır. Bankamızın yurt dışındaki muhabir bankalar nezdinde açtırdığı döviz hesaplarına Nostro hesap denir, yani bizim sizdeki hesabımızdır. Yurt dışındaki muhabir bankaların Bankamız nezdinde açtırdığı hesaplara ise Vostro veya Loro hesap denir, yani sizin bizdeki hesabınızdır. Akreditifli işlemlerde amir bankanın talimatıyla ödemeyi gerçekleştiren üçüncü bir banka varsa bu bankaya Rambursman bankası denir. Tahsil işlemlerinde vesaikin hangi şartlarla teslim edileceğini gösteren talimat mektubuna ise Römiz mektubu adı verilir.</w:t>
      </w:r>
    </w:p>
    <w:p w14:paraId="541D7A09" w14:textId="7BF1C99A" w:rsidR="00D84FC1" w:rsidRDefault="00D84FC1" w:rsidP="00D84FC1">
      <w:r>
        <w:t>ULUSLARARASI TİCARİ TESLİM ŞEKİLLERİ (INCOTERMS)</w:t>
      </w:r>
    </w:p>
    <w:p w14:paraId="09DF9945" w14:textId="77777777" w:rsidR="00D84FC1" w:rsidRDefault="00D84FC1" w:rsidP="00D84FC1"/>
    <w:p w14:paraId="6207920E" w14:textId="77777777" w:rsidR="00D84FC1" w:rsidRDefault="00D84FC1" w:rsidP="00D84FC1">
      <w:r>
        <w:t>Incoterms kuralları, tüm taşıma türlerini kapsayan kurallar ve sadece deniz ile içsu taşımalarına özgü kurallar olmak üzere iki ana gruba ayrılır.</w:t>
      </w:r>
    </w:p>
    <w:p w14:paraId="577B0072" w14:textId="77777777" w:rsidR="00D84FC1" w:rsidRDefault="00D84FC1" w:rsidP="00D84FC1"/>
    <w:p w14:paraId="24CCFBB1" w14:textId="77777777" w:rsidR="00D84FC1" w:rsidRDefault="00D84FC1" w:rsidP="00D84FC1">
      <w:r>
        <w:t>Tüm taşıma türlerini kapsayan 7 kural şunlardır.</w:t>
      </w:r>
    </w:p>
    <w:p w14:paraId="66E08CD1" w14:textId="77777777" w:rsidR="00D84FC1" w:rsidRDefault="00D84FC1" w:rsidP="00D84FC1">
      <w:r>
        <w:t>EXW yani Exworks işyerinde teslimdir ve satıcının sorumluluğunun en az, alıcının sorumluluğunun en fazla olduğu teslim şeklidir.</w:t>
      </w:r>
    </w:p>
    <w:p w14:paraId="4F870DC2" w14:textId="77777777" w:rsidR="00D84FC1" w:rsidRDefault="00D84FC1" w:rsidP="00D84FC1">
      <w:r>
        <w:t>FCA taşıyıcıya masrafsız teslimdir.</w:t>
      </w:r>
    </w:p>
    <w:p w14:paraId="0B27B188" w14:textId="77777777" w:rsidR="00D84FC1" w:rsidRDefault="00D84FC1" w:rsidP="00D84FC1">
      <w:r>
        <w:t>CPT taşıma ödenmiş olarak teslimdir.</w:t>
      </w:r>
    </w:p>
    <w:p w14:paraId="0CD27105" w14:textId="77777777" w:rsidR="00D84FC1" w:rsidRDefault="00D84FC1" w:rsidP="00D84FC1">
      <w:r>
        <w:t>CIP taşıma ve sigorta ödenmiş olarak teslimdir.</w:t>
      </w:r>
    </w:p>
    <w:p w14:paraId="004692A7" w14:textId="77777777" w:rsidR="00D84FC1" w:rsidRDefault="00D84FC1" w:rsidP="00D84FC1">
      <w:r>
        <w:lastRenderedPageBreak/>
        <w:t>DAP belirlenen yerde teslimdir.</w:t>
      </w:r>
    </w:p>
    <w:p w14:paraId="2E74CF3C" w14:textId="77777777" w:rsidR="00D84FC1" w:rsidRDefault="00D84FC1" w:rsidP="00D84FC1">
      <w:r>
        <w:t>DPU belirlenen yerde boşaltılmış olarak teslimdir ve satıcının malı varış yerinde taşıma aracından boşaltma yükümlülüğü olduğu tek kuraldır.</w:t>
      </w:r>
    </w:p>
    <w:p w14:paraId="523EFDF9" w14:textId="77777777" w:rsidR="00D84FC1" w:rsidRDefault="00D84FC1" w:rsidP="00D84FC1">
      <w:r>
        <w:t>DDP gümrük resmi ödenmiş olarak teslimdir ve satıcının sorumluluğunun en fazla olduğu teslim şeklidir.</w:t>
      </w:r>
    </w:p>
    <w:p w14:paraId="55A22521" w14:textId="77777777" w:rsidR="00D84FC1" w:rsidRDefault="00D84FC1" w:rsidP="00D84FC1"/>
    <w:p w14:paraId="48773D80" w14:textId="77777777" w:rsidR="00D84FC1" w:rsidRDefault="00D84FC1" w:rsidP="00D84FC1">
      <w:r>
        <w:t>Sadece deniz ve içsu taşımalarına özgü 4 kural ise şunlardır.</w:t>
      </w:r>
    </w:p>
    <w:p w14:paraId="217F4187" w14:textId="77777777" w:rsidR="00D84FC1" w:rsidRDefault="00D84FC1" w:rsidP="00D84FC1">
      <w:r>
        <w:t>FAS gemi doğrultusunda masrafsız teslimdir.</w:t>
      </w:r>
    </w:p>
    <w:p w14:paraId="2A018C58" w14:textId="77777777" w:rsidR="00D84FC1" w:rsidRDefault="00D84FC1" w:rsidP="00D84FC1">
      <w:r>
        <w:t>FOB gemide masrafsız teslimdir.</w:t>
      </w:r>
    </w:p>
    <w:p w14:paraId="1871DD92" w14:textId="77777777" w:rsidR="00D84FC1" w:rsidRDefault="00D84FC1" w:rsidP="00D84FC1">
      <w:r>
        <w:t>CFR masraflar ve navlun ödenmiş teslimdir.</w:t>
      </w:r>
    </w:p>
    <w:p w14:paraId="634DD618" w14:textId="77777777" w:rsidR="00D84FC1" w:rsidRDefault="00D84FC1" w:rsidP="00D84FC1">
      <w:r>
        <w:t>CIF masraflar, sigorta ve navlun ödenmiş olarak teslimdir.</w:t>
      </w:r>
    </w:p>
    <w:p w14:paraId="3C1B4F6E" w14:textId="77777777" w:rsidR="00D84FC1" w:rsidRDefault="00D84FC1" w:rsidP="00D84FC1"/>
    <w:p w14:paraId="7EC2FA56" w14:textId="77777777" w:rsidR="00D84FC1" w:rsidRDefault="00D84FC1" w:rsidP="00D84FC1"/>
    <w:p w14:paraId="190AAB1B" w14:textId="66F25893" w:rsidR="00D84FC1" w:rsidRDefault="00D84FC1" w:rsidP="00D84FC1">
      <w:r>
        <w:t xml:space="preserve"> DIŞ TİCARETTE KULLANILAN BELGELER</w:t>
      </w:r>
    </w:p>
    <w:p w14:paraId="4952FA02" w14:textId="77777777" w:rsidR="00D84FC1" w:rsidRDefault="00D84FC1" w:rsidP="00D84FC1"/>
    <w:p w14:paraId="0F4DF858" w14:textId="77777777" w:rsidR="00D84FC1" w:rsidRDefault="00D84FC1" w:rsidP="00D84FC1">
      <w:r>
        <w:t>Şuraya dikkat et, bu kısım sınavda hayat kurtarır! Taşıma belgelerinin kıymetli evrak niteliği taşıyıp taşımadığı ve mülkiyeti nasıl devrettiği sınavda kesinlikle sorulur.</w:t>
      </w:r>
    </w:p>
    <w:p w14:paraId="3D3D04BC" w14:textId="77777777" w:rsidR="00D84FC1" w:rsidRDefault="00D84FC1" w:rsidP="00D84FC1">
      <w:r>
        <w:t>Denizyolu Konşimentosu yani Bill of Lading, malların mülkiyetini temsil eden kıymetli evrak niteliğinde bir belgedir, emre düzenlenebilir ve ciro ile devredilebilir. Tam takım deniz konşimentosu genellikle 3 orijinal nüsha düzenlenir ve bunlardan biriyle mallar gümrükten çekildiğinde diğer orijinal nüshalar hükümsüz kalır.</w:t>
      </w:r>
    </w:p>
    <w:p w14:paraId="68EB860C" w14:textId="77777777" w:rsidR="00D84FC1" w:rsidRDefault="00D84FC1" w:rsidP="00D84FC1">
      <w:r>
        <w:t>Buna karşılık Havayolu Konşimentosu, Demiryolu taşımacılığında düzenlenen Hamule Senedi ve Karayolu Taşıma Belgesi yani CMR, malların mülkiyetini göstermez, kıymetli evrak niteliğinde değildir ve ciro kabiliyetleri yoktur. Bu 3 taşıma belgesinde malların mülkiyetinin devri ciro ile değil, Ordino Teslim Yazısı verilmesi suretiyle gerçekleşir.</w:t>
      </w:r>
    </w:p>
    <w:p w14:paraId="2E826DD3" w14:textId="77777777" w:rsidR="00D84FC1" w:rsidRDefault="00D84FC1" w:rsidP="00D84FC1"/>
    <w:p w14:paraId="5CBC0DF8" w14:textId="77777777" w:rsidR="00D84FC1" w:rsidRDefault="00D84FC1" w:rsidP="00D84FC1">
      <w:r>
        <w:t>Dolaşım ve menşe belgelerindeki ayrımlar şunlardır. Avrupa Birliği ile Türkiye arasındaki Gümrük Birliği gereğince, ülkemizden AB üyesi ülkelere ihraç edilen malların gümrük muafiyetinden yararlanması için A.TR Dolaşım Belgesi düzenlenir. Serbest Ticaret Anlaşması imzalanan ülkeler ve EFTA ülkeleri ile yapılan ticarette EUR.1 Dolaşım Belgesi düzenlenir.</w:t>
      </w:r>
    </w:p>
    <w:p w14:paraId="3570C686" w14:textId="77777777" w:rsidR="00D84FC1" w:rsidRDefault="00D84FC1" w:rsidP="00D84FC1">
      <w:r>
        <w:lastRenderedPageBreak/>
        <w:t>Malın hangi ülke kaynaklı olduğunu gösteren belgeye Menşe Şahadetnamesi denir. GSP'nin sağladığı tavizli gümrük oranlarından yararlanılması için yapılan ihracatta düzenlenen özel belgeye ise Özel Menşe Şahadetnamesi yani Form-A adı verilir.</w:t>
      </w:r>
    </w:p>
    <w:p w14:paraId="427CDDF1" w14:textId="77777777" w:rsidR="00D84FC1" w:rsidRDefault="00D84FC1" w:rsidP="00D84FC1"/>
    <w:p w14:paraId="0820BE3A" w14:textId="3C3C8AFA" w:rsidR="00D84FC1" w:rsidRDefault="00D84FC1" w:rsidP="00D84FC1">
      <w:r>
        <w:t>DIŞ TİCARETTE ÖDEME YÖNTEMLERİ</w:t>
      </w:r>
    </w:p>
    <w:p w14:paraId="6B2E660C" w14:textId="77777777" w:rsidR="00D84FC1" w:rsidRDefault="00D84FC1" w:rsidP="00D84FC1"/>
    <w:p w14:paraId="6E0DD64A" w14:textId="77777777" w:rsidR="00D84FC1" w:rsidRDefault="00D84FC1" w:rsidP="00D84FC1">
      <w:r>
        <w:t>Birinci ödeme yöntemi Peşin Ödemedir. İthalatçının mal sevkiyatından önce mal bedelini satıcıya ödemesidir. İhracatçı için en güvenli, ithalatçı için en riskli yöntemdir. Bedelin peşin ödenmesi durumunda ithalatçının %6 KKDF ödeme yükümlülüğü yoktur ve Bakanlık sisteminden Belge ID üretilir.</w:t>
      </w:r>
    </w:p>
    <w:p w14:paraId="23E2BF82" w14:textId="77777777" w:rsidR="00D84FC1" w:rsidRDefault="00D84FC1" w:rsidP="00D84FC1"/>
    <w:p w14:paraId="4CD9A3FC" w14:textId="77777777" w:rsidR="00D84FC1" w:rsidRDefault="00D84FC1" w:rsidP="00D84FC1">
      <w:r>
        <w:t>İkinci ödeme yöntemi Mal Mukabili Ödemedir. İhracatçının malı ve belgeleri doğrudan ithalatçıya gönderdiği, mal gümrükten çekildikten sonra ödeme yapılan yöntemdir. İthalatçı için en avantajlı, ihracatçı için en riskli yöntemdir. Mallar bedeli ödenmeden önce gümrükten çekildiği için vadeli ithalat sayılır ve %6 oranında KKDF'ye tabidir.</w:t>
      </w:r>
    </w:p>
    <w:p w14:paraId="5474D882" w14:textId="77777777" w:rsidR="00D84FC1" w:rsidRDefault="00D84FC1" w:rsidP="00D84FC1"/>
    <w:p w14:paraId="21A2C487" w14:textId="77777777" w:rsidR="00D84FC1" w:rsidRDefault="00D84FC1" w:rsidP="00D84FC1">
      <w:r>
        <w:t>Üçüncü ödeme yöntemi Vesaik Mukabili Ödemedir. İhracatçı malı sevk ettikten sonra sevk vesaikini römiz mektubu ekinde kendi bankasına teslim eder, banka vesaiki ithalatçının bankasına gönderir ve bedel ödendiğinde vesaik alıcıya teslim edilir. Bankalar ödeme taahhüdü altına girmez. Bu yöntemde bedel ödendikten sonra mallar gümrükten çekildiği için %6'lık KKDF'ye tabi değildir ve Belge ID düzenlenir.</w:t>
      </w:r>
    </w:p>
    <w:p w14:paraId="7C5A2596" w14:textId="77777777" w:rsidR="00D84FC1" w:rsidRDefault="00D84FC1" w:rsidP="00D84FC1"/>
    <w:p w14:paraId="2960F4B0" w14:textId="77777777" w:rsidR="00D84FC1" w:rsidRDefault="00D84FC1" w:rsidP="00D84FC1">
      <w:r>
        <w:t xml:space="preserve">Dördüncü ödeme yöntemi Kabul Kredili Ödemedir. Vesaik mukabili veya mal mukabili şeklinde işleyebilir. İhracatçı mala ilişkin vesaikle birlikte vadeli bir poliçe gönderir. Poliçe kabul edilerek veya banka avali alınarak vesaik teslim edilir. </w:t>
      </w:r>
    </w:p>
    <w:p w14:paraId="0797CDE5" w14:textId="77777777" w:rsidR="00D84FC1" w:rsidRDefault="00D84FC1" w:rsidP="00D84FC1">
      <w:r>
        <w:t>Dikkat burası çok kritik! Kabul kredili vesaik mukabilinde, bedel ihracatçıya ödenmeden önce mallar gümrükten çekildiği için işlem %6'lık KKDF'ye tabidir. Bu nedenle Belge ID düzenlenmez, bunun yerine bankalarca Vadeli İthalat Bildirim Formu düzenlenir.</w:t>
      </w:r>
    </w:p>
    <w:p w14:paraId="65C28861" w14:textId="77777777" w:rsidR="00D84FC1" w:rsidRDefault="00D84FC1" w:rsidP="00D84FC1">
      <w:r>
        <w:t>Poliçenin protesto edilmesi sürecinde tahsil talimatında protesto şartı olup olmadığı mutlaka kontrol edilmelidir. Protesto şartı varsa poliçenin noterden protesto ettirilebilmesi için öncelikle yeminli tercüme bürosundan çevirisi yapılmalı ve vade tarihini takip eden 2 iş günü içinde protesto işlemi gerçekleştirilmelidir.</w:t>
      </w:r>
    </w:p>
    <w:p w14:paraId="72F6E84C" w14:textId="77777777" w:rsidR="00D84FC1" w:rsidRDefault="00D84FC1" w:rsidP="00D84FC1"/>
    <w:p w14:paraId="053A9D81" w14:textId="77777777" w:rsidR="00D84FC1" w:rsidRDefault="00D84FC1" w:rsidP="00D84FC1">
      <w:r>
        <w:lastRenderedPageBreak/>
        <w:t>Beşinci ödeme yöntemi Akreditifli Ödemedir. Amir bankanın, şartların yerine getirilmesi ve uygun vesaikin ibraz edilmesi karşılığında lehtara ödeme yapacağını taahhüt ettiği geri dönülemez banka taahhüdüdür. Amir banka akreditifi teyit bankası aracılığıyla lehtara duyurabilir. Bankalar mallarla değil yalnızca belgelerle ilgilenir ve belgelerin uygunluğunu ibraz gününü takip eden en fazla 5 iş günü içinde inceleyerek karar verir.</w:t>
      </w:r>
    </w:p>
    <w:p w14:paraId="2D0D3FF0" w14:textId="6809F843" w:rsidR="00D84FC1" w:rsidRDefault="00D84FC1" w:rsidP="00D84FC1">
      <w:r>
        <w:t>İHRACAT BEDELLERİNİN TAHSİLİ VE GÖRÜNMEYEN KALEM TRANSFERLERİ</w:t>
      </w:r>
    </w:p>
    <w:p w14:paraId="705A9408" w14:textId="77777777" w:rsidR="00D84FC1" w:rsidRDefault="00D84FC1" w:rsidP="00D84FC1"/>
    <w:p w14:paraId="5DEDD96F" w14:textId="77777777" w:rsidR="00D84FC1" w:rsidRDefault="00D84FC1" w:rsidP="00D84FC1">
      <w:r>
        <w:t>İhracat bedellerinin fiili ihraç tarihinden itibaren azami 180 gün içinde yurda getirilmesi ve İhracat Bedeli Kabul Belgesi yani İBKB düzenlenerek kapatılması gerekir. Nakit Beyan Formu ile efektif olarak getirilen bedellerde formun düzenlenme tarihinden itibaren 30 gün süre vardır. Süresi içinde kapatılmayan hesaplar 5 iş günü içinde Vergi Dairesine ihbar edilir.</w:t>
      </w:r>
    </w:p>
    <w:p w14:paraId="08BB7223" w14:textId="77777777" w:rsidR="00D84FC1" w:rsidRDefault="00D84FC1" w:rsidP="00D84FC1">
      <w:r>
        <w:t>Şuraya dikkat et, bu kısım sınavda hayat kurtarır! 15.000 ABD doları veya eşitine kadar olan ihracat hesapları ile beyanname veya formda yer alan bedelin %10'una kadar olan ve 15.000 ABD doları ile 100.000 ABD doları arasında kalan noksanlıklar terkin edilmek suretiyle bankaca kapatılır.</w:t>
      </w:r>
    </w:p>
    <w:p w14:paraId="1A165107" w14:textId="77777777" w:rsidR="00D84FC1" w:rsidRDefault="00D84FC1" w:rsidP="00D84FC1">
      <w:r>
        <w:t>Hizmet ihracatı, transit ticaret, özel faturalı satışlar, mikro ihracat ve serbest bölge işlem formu kapsamında gerçekleştirilen 5.000 ABD doları veya karşılığı döviz ya da Türk Lirasını geçmeyen tutardaki ihracat işlemlerinde bedellerin tamamının tasarrufu serbesttir ve takibi yapılmaz. Peşin döviz karşılığında yapılan ihracatın ise 24 ay içinde gerçekleştirilmesi zorunludur.</w:t>
      </w:r>
    </w:p>
    <w:p w14:paraId="652F48BD" w14:textId="77777777" w:rsidR="00D84FC1" w:rsidRDefault="00D84FC1" w:rsidP="00D84FC1"/>
    <w:p w14:paraId="62067AA3" w14:textId="77777777" w:rsidR="00D84FC1" w:rsidRDefault="00D84FC1" w:rsidP="00D84FC1">
      <w:r>
        <w:t>Görünmeyen kalem transferlerinde fatura veya bordro ibrazı zorunludur. Ancak 5.000 USD dahil veya eşiti döviz tutarının altındaki bedellerin transferi için, vergi yükümlülüklerinin yerine getirilmiş olması kaydıyla belge ibrazı zorunlu değildir ve beyana göre işlem yapılır. Yurt dışından kullanılan ve yurda inen krediler ile bu kredilere ait geri ödemeler Uzun Vadeli Kredi yani UVK ekranları üzerinden takip edilir.</w:t>
      </w:r>
    </w:p>
    <w:p w14:paraId="2D9BA259" w14:textId="77777777" w:rsidR="00D84FC1" w:rsidRDefault="00D84FC1" w:rsidP="00D84FC1"/>
    <w:p w14:paraId="46AFEFB9" w14:textId="77777777" w:rsidR="00D84FC1" w:rsidRDefault="00D84FC1" w:rsidP="00D84FC1"/>
    <w:p w14:paraId="668C594E" w14:textId="5D3A4E94" w:rsidR="00D84FC1" w:rsidRDefault="00D84FC1" w:rsidP="00D84FC1">
      <w:r>
        <w:t>NAKİT YÖNETİMİ ÜRÜN VE HİZMETLERİ</w:t>
      </w:r>
    </w:p>
    <w:p w14:paraId="259936E3" w14:textId="23F92675" w:rsidR="00D84FC1" w:rsidRDefault="00BA5300" w:rsidP="00D84FC1">
      <w:r>
        <w:t>T</w:t>
      </w:r>
      <w:r w:rsidR="00D84FC1">
        <w:t>AHSİLAT ÜRÜNLERİ, VİNOV VE VANA</w:t>
      </w:r>
    </w:p>
    <w:p w14:paraId="56B36DC4" w14:textId="77777777" w:rsidR="00D84FC1" w:rsidRDefault="00D84FC1" w:rsidP="00D84FC1">
      <w:r>
        <w:t>Pratik Tahsilat Sistemi yani Çek Entegrasyonu, şubelerimize çok sayıda çek getiren firmaların çek tahsilatlarında otomatik muhasebeleştirme yapmasını sağlar. Kurum çek bilgilerini sisteme yükler, Banka akıbet dosyası iletir ve firma kendi sisteminde otomatik muhasebe kaydı oluşturur.</w:t>
      </w:r>
    </w:p>
    <w:p w14:paraId="3C86D006" w14:textId="77777777" w:rsidR="00D84FC1" w:rsidRDefault="00D84FC1" w:rsidP="00D84FC1"/>
    <w:p w14:paraId="1AE73C2A" w14:textId="77777777" w:rsidR="00D84FC1" w:rsidRDefault="00D84FC1" w:rsidP="00D84FC1">
      <w:r>
        <w:t>VİNOV ürünümüz, ileri vadeli ödeme ve tahsilatların VakıfBank garantisi altında yapıldığı dijital ödeme ve tahsilat ekosistemidir.</w:t>
      </w:r>
    </w:p>
    <w:p w14:paraId="33FBE3C3" w14:textId="77777777" w:rsidR="00D84FC1" w:rsidRDefault="00D84FC1" w:rsidP="00D84FC1">
      <w:r>
        <w:t>Dikkat burası çok kritik! VİNOV ödemelerinde iptal kuralı sınavda çok severek sorulur. VİNOV Borçlusu tarafından oluşturulan bir VİNOV kaydı, borçlu tarafından değil ancak VİNOV Alıcısı tarafından iptal edilebilir. VİNOV Alıcısının kaydı iptal edebilmesi için VİNOV hesap tanımının bulunması gerekir. Alıcı iptal işlemini VİNOV Uygulaması, Mobil veya İnternet Bankacılığından en geç vade tarihinden önceki güne kadar, Şube kanalından ise vade tarihinden önceki iş günü mesai bitimine kadar iletmelidir. Ayrıca OYAK hesapları, ortak hesaplar, Ek Hesap tanımlı hesaplar ve maaş hesapları VİNOV hesabı olarak tanımlanamaz.</w:t>
      </w:r>
    </w:p>
    <w:p w14:paraId="615D74C6" w14:textId="77777777" w:rsidR="00D84FC1" w:rsidRDefault="00D84FC1" w:rsidP="00D84FC1"/>
    <w:p w14:paraId="5955ADF7" w14:textId="77777777" w:rsidR="00D84FC1" w:rsidRDefault="00D84FC1" w:rsidP="00D84FC1">
      <w:r>
        <w:t>VaNa yani VakıfBank Nakit Yönetimi Hesabı, firmaların vergi, SGK, gümrük, fatura ve icra gibi resmi ödemelerini gerçekleştirebildiği, taksit ve opsiyon imkanı sunan kapalı devre nakit yönetimi ürünüdür.</w:t>
      </w:r>
    </w:p>
    <w:p w14:paraId="46FFB4FF" w14:textId="77777777" w:rsidR="00D84FC1" w:rsidRDefault="00D84FC1" w:rsidP="00D84FC1"/>
    <w:p w14:paraId="5ACF736D" w14:textId="77777777" w:rsidR="00D84FC1" w:rsidRDefault="00D84FC1" w:rsidP="00D84FC1"/>
    <w:p w14:paraId="638BFFCD" w14:textId="5A9840DA" w:rsidR="00D84FC1" w:rsidRDefault="00D84FC1" w:rsidP="00D84FC1">
      <w:r>
        <w:t>ÖDEME, SÜPÜRME, VAKIFPAY VE KOLAY ADRES ÜRÜNLERİ</w:t>
      </w:r>
    </w:p>
    <w:p w14:paraId="0CE14832" w14:textId="77777777" w:rsidR="00D84FC1" w:rsidRDefault="00D84FC1" w:rsidP="00D84FC1"/>
    <w:p w14:paraId="399B6F25" w14:textId="77777777" w:rsidR="00D84FC1" w:rsidRDefault="00D84FC1" w:rsidP="00D84FC1">
      <w:r>
        <w:t>Toplu Ödeme Sistemi yani TÖS, Offline TÖS ve Online TÖS olarak ikiye ayrılır. Offline TÖS uygulamasında firmalar ödeme bilgilerini dosya olarak Bankamıza iletir ve sistem otomatik gerçekleştirir. Online TÖS uygulamasında ise Banka ile firma arasında web servis aracılığıyla anlık entegrasyon sağlanır.</w:t>
      </w:r>
    </w:p>
    <w:p w14:paraId="1B03B523" w14:textId="77777777" w:rsidR="00D84FC1" w:rsidRDefault="00D84FC1" w:rsidP="00D84FC1"/>
    <w:p w14:paraId="7848B942" w14:textId="77777777" w:rsidR="00D84FC1" w:rsidRDefault="00D84FC1" w:rsidP="00D84FC1">
      <w:r>
        <w:t>Otomatik Süpürme ürünü, bir hesaptaki bakiyenin tamamının veya bir kısmının sistem tarafından farklı bir hesaba otomatik aktarılmasıdır. Paranın alındığı hesaba kaynak hesap, aktarıldığı hesaba hedef hesap denir. Müşteri isterse Hesapta Kalacak En Az Tutar veya Süpürme Yapılacak En Fazla Tutar kısıtları tanımlayabilir.</w:t>
      </w:r>
    </w:p>
    <w:p w14:paraId="18F80600" w14:textId="77777777" w:rsidR="00D84FC1" w:rsidRDefault="00D84FC1" w:rsidP="00D84FC1"/>
    <w:p w14:paraId="7E0AEC90" w14:textId="77777777" w:rsidR="00D84FC1" w:rsidRDefault="00D84FC1" w:rsidP="00D84FC1">
      <w:r>
        <w:t>Kolay Adres yani KOLAS Sistemi, IBAN numaralarının telefon numarası, e-posta adresi, TCKN veya VKN ile eşleştirilmesini sağlar. Telefon numarası veya e-posta adresinde değişiklik olması durumunda müşteri bu değişikliği Bankamıza bildirmekle yükümlüdür; aksi takdirde güncel olmayan bilgilerle yapılacak para transferlerinin sorumluluğu müşteriye aittir.</w:t>
      </w:r>
    </w:p>
    <w:p w14:paraId="042243DB" w14:textId="77777777" w:rsidR="00D84FC1" w:rsidRDefault="00D84FC1" w:rsidP="00D84FC1"/>
    <w:p w14:paraId="3191DFA2" w14:textId="77777777" w:rsidR="00D84FC1" w:rsidRDefault="00D84FC1" w:rsidP="00D84FC1"/>
    <w:p w14:paraId="443D10BC" w14:textId="382DC63F" w:rsidR="00D84FC1" w:rsidRDefault="00D84FC1" w:rsidP="00D84FC1">
      <w:r>
        <w:t>HESAP MUTABAKAT ÜRÜNLERİ</w:t>
      </w:r>
    </w:p>
    <w:p w14:paraId="75B7CFB0" w14:textId="77777777" w:rsidR="00D84FC1" w:rsidRDefault="00D84FC1" w:rsidP="00D84FC1"/>
    <w:p w14:paraId="27A79983" w14:textId="77777777" w:rsidR="00D84FC1" w:rsidRDefault="00D84FC1" w:rsidP="00D84FC1">
      <w:r>
        <w:t>Online Hesap Hareketleri Mutabakat Sistemi, web servis üzerinden hesap hareketlerinin XML formatında alınabildiği ve TÜRMOB LUCA programı entegrasyonu ile 7/24 erişilebildiği sistemdir.</w:t>
      </w:r>
    </w:p>
    <w:p w14:paraId="63B8F2C1" w14:textId="77777777" w:rsidR="00D84FC1" w:rsidRDefault="00D84FC1" w:rsidP="00D84FC1">
      <w:r>
        <w:t>MT940 ve MT942 Hesap Mutabakat Sistemi, elektronik banka hesap ekstresidir.</w:t>
      </w:r>
    </w:p>
    <w:p w14:paraId="4945D0D8" w14:textId="77777777" w:rsidR="00D84FC1" w:rsidRDefault="00D84FC1" w:rsidP="00D84FC1">
      <w:r>
        <w:t>Şuraya dikkat et, bu kısım sınavda hayat kurtarır! MT940 ve MT942 arasındaki fark şudur: Tüm günün ekstresi iletilirse MT940 mesajı, yalnızca gün içi belirli saat dilimi aralıkları iletilirse MT942 mesajı gönderilir.</w:t>
      </w:r>
    </w:p>
    <w:p w14:paraId="1669DC8B" w14:textId="77777777" w:rsidR="00D84FC1" w:rsidRDefault="00D84FC1" w:rsidP="00D84FC1">
      <w:r>
        <w:t>Toplu Dekont Bildirimi ürünü ise tanımlı hesaplar için dekontların talep edilen periyotlarda e-posta veya FTP ile gönderilmesini sağlar. Bu talimat yalnızca tüzel müşterilerimize tanımlanabilmektedir.</w:t>
      </w:r>
    </w:p>
    <w:p w14:paraId="325573F7" w14:textId="7A09D479" w:rsidR="00D84FC1" w:rsidRDefault="00D84FC1" w:rsidP="00D84FC1">
      <w:r>
        <w:t>E-DÖNÜŞÜM ÜRÜNLERİ VE E-İMZA</w:t>
      </w:r>
    </w:p>
    <w:p w14:paraId="134EA5B2" w14:textId="77777777" w:rsidR="00D84FC1" w:rsidRDefault="00D84FC1" w:rsidP="00D84FC1"/>
    <w:p w14:paraId="4B3764C5" w14:textId="77777777" w:rsidR="00D84FC1" w:rsidRDefault="00D84FC1" w:rsidP="00D84FC1">
      <w:r>
        <w:t>e-Fatura, e-Arşiv, e-Defter, e-İrsaliye ve e-Müstahsil Makbuzu dijital dönüşüm ürünlerimizdir. e-Müstahsil Makbuzu çiftçilerin ürün satış işlemlerini dijital ortama taşır ve altyapısı e-Arşiv uygulaması ile bire bir aynıdır.</w:t>
      </w:r>
    </w:p>
    <w:p w14:paraId="2721C1DE" w14:textId="77777777" w:rsidR="00D84FC1" w:rsidRDefault="00D84FC1" w:rsidP="00D84FC1">
      <w:r>
        <w:t>E-İmza, ıslak imzanın dijital halidir ve aynı hukuki geçerliliğe sahiptir. Usulüne göre e-imza ile oluşturulan elektronik veriler senet hükmündedir ve aksi ispat edilinceye kadar kesin delil sayılır.</w:t>
      </w:r>
    </w:p>
    <w:p w14:paraId="293F73C4" w14:textId="77777777" w:rsidR="00D84FC1" w:rsidRDefault="00D84FC1" w:rsidP="00D84FC1">
      <w:r>
        <w:t>BÖLÜM 8 UYGULAMA SORUSU</w:t>
      </w:r>
    </w:p>
    <w:p w14:paraId="451ABD1A" w14:textId="259299EC" w:rsidR="00D84FC1" w:rsidRDefault="00D84FC1" w:rsidP="00D84FC1">
      <w:r>
        <w:t xml:space="preserve">Soru: Bir dış ticaret firması, Türkiye'deki bir banka aracılığıyla yurt dışındaki satıcıya mal mukabili ödeme yöntemiyle 1.250.000 TL tutarında mal ithal etmiş ve bedeli malı gümrükten çektikten sonra transfer etmiştir. Aynı firma, başka bir işlemde ise yurt dışından kabul kredili vesaik mukabili ödeme yöntemiyle hammadde ithal etmiş, poliçeyi kabul etmiş ve poliçe vadesinden önce malları gümrükten çekmiştir. Ayrıca firma, 12.000 ABD doları tutarındaki bir ihracat hesabını süresi içinde kapatamamıştır. Bu senaryoya göre </w:t>
      </w:r>
    </w:p>
    <w:p w14:paraId="1086857C" w14:textId="22237C5D" w:rsidR="00D84FC1" w:rsidRDefault="00D84FC1" w:rsidP="00D84FC1">
      <w:r>
        <w:t>Çözüm Açıklaması: Mal mukabili ithalatta mallar bedeli ödenmeden önce gümrükten çekildiği için vadeli ithalat sayılır ve %6 KKDF'ye tabidir. Kabul kredili vesaik mukabili ithalatta da mallar bedel ödenmeden önce çekildiği için %6 KKDF'ye tabidir ve Belge ID yerine Vadeli İthalat Bildirim Formü düzenlenir</w:t>
      </w:r>
      <w:r>
        <w:t xml:space="preserve">. </w:t>
      </w:r>
      <w:r>
        <w:t xml:space="preserve">12.000 ABD doları tutarındaki ihracat </w:t>
      </w:r>
      <w:r>
        <w:lastRenderedPageBreak/>
        <w:t>hesabı 15.000 ABD doları sınırının altında kaldığı için terkin edilerek bankaca kapatılabilir, Vergi Dairesine ihbar zorunluluğu yoktur</w:t>
      </w:r>
    </w:p>
    <w:p w14:paraId="320F4188" w14:textId="58A42DAF" w:rsidR="001160B5" w:rsidRDefault="001160B5" w:rsidP="00D84FC1"/>
    <w:sectPr w:rsidR="001160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55F"/>
    <w:rsid w:val="001160B5"/>
    <w:rsid w:val="0051755F"/>
    <w:rsid w:val="00BA5300"/>
    <w:rsid w:val="00D4600B"/>
    <w:rsid w:val="00D84FC1"/>
    <w:rsid w:val="00D9071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D9029"/>
  <w15:chartTrackingRefBased/>
  <w15:docId w15:val="{7C5F0C55-19AD-4A10-9250-D4793C42A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175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175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1755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1755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1755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1755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1755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1755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1755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1755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1755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1755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1755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1755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1755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1755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1755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1755F"/>
    <w:rPr>
      <w:rFonts w:eastAsiaTheme="majorEastAsia" w:cstheme="majorBidi"/>
      <w:color w:val="272727" w:themeColor="text1" w:themeTint="D8"/>
    </w:rPr>
  </w:style>
  <w:style w:type="paragraph" w:styleId="KonuBal">
    <w:name w:val="Title"/>
    <w:basedOn w:val="Normal"/>
    <w:next w:val="Normal"/>
    <w:link w:val="KonuBalChar"/>
    <w:uiPriority w:val="10"/>
    <w:qFormat/>
    <w:rsid w:val="00517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1755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1755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1755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1755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1755F"/>
    <w:rPr>
      <w:i/>
      <w:iCs/>
      <w:color w:val="404040" w:themeColor="text1" w:themeTint="BF"/>
    </w:rPr>
  </w:style>
  <w:style w:type="paragraph" w:styleId="ListeParagraf">
    <w:name w:val="List Paragraph"/>
    <w:basedOn w:val="Normal"/>
    <w:uiPriority w:val="34"/>
    <w:qFormat/>
    <w:rsid w:val="0051755F"/>
    <w:pPr>
      <w:ind w:left="720"/>
      <w:contextualSpacing/>
    </w:pPr>
  </w:style>
  <w:style w:type="character" w:styleId="GlVurgulama">
    <w:name w:val="Intense Emphasis"/>
    <w:basedOn w:val="VarsaylanParagrafYazTipi"/>
    <w:uiPriority w:val="21"/>
    <w:qFormat/>
    <w:rsid w:val="0051755F"/>
    <w:rPr>
      <w:i/>
      <w:iCs/>
      <w:color w:val="0F4761" w:themeColor="accent1" w:themeShade="BF"/>
    </w:rPr>
  </w:style>
  <w:style w:type="paragraph" w:styleId="GlAlnt">
    <w:name w:val="Intense Quote"/>
    <w:basedOn w:val="Normal"/>
    <w:next w:val="Normal"/>
    <w:link w:val="GlAlntChar"/>
    <w:uiPriority w:val="30"/>
    <w:qFormat/>
    <w:rsid w:val="005175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1755F"/>
    <w:rPr>
      <w:i/>
      <w:iCs/>
      <w:color w:val="0F4761" w:themeColor="accent1" w:themeShade="BF"/>
    </w:rPr>
  </w:style>
  <w:style w:type="character" w:styleId="GlBavuru">
    <w:name w:val="Intense Reference"/>
    <w:basedOn w:val="VarsaylanParagrafYazTipi"/>
    <w:uiPriority w:val="32"/>
    <w:qFormat/>
    <w:rsid w:val="005175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1822</Words>
  <Characters>10386</Characters>
  <Application>Microsoft Office Word</Application>
  <DocSecurity>0</DocSecurity>
  <Lines>86</Lines>
  <Paragraphs>24</Paragraphs>
  <ScaleCrop>false</ScaleCrop>
  <Company/>
  <LinksUpToDate>false</LinksUpToDate>
  <CharactersWithSpaces>12184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emir</dc:creator>
  <cp:keywords/>
  <dc:description/>
  <cp:lastModifiedBy>emir</cp:lastModifiedBy>
  <cp:revision>3</cp:revision>
  <dcterms:created xsi:type="dcterms:W3CDTF">2026-10-28T22:04:00Z</dcterms:created>
  <dcterms:modified xsi:type="dcterms:W3CDTF">2026-10-28T22:08:00Z</dcterms:modified>
</cp:coreProperties>
</file>