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ENTERPRISE CLAIM MANAGEMENT SYSTEM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Generic Architecture &amp; Data Model Reference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Applicable to Insurance, Warranty, Expense, Legal, and Employee Claim Domains</w:t>
      </w:r>
    </w:p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Version 1.0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Purpose &amp; Design Philosophy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defines a domain-agnostic architecture and data model for enterprise claim management — a structure capable of supporting insurance claims, warranty claims, employee expense claims, legal claims, and any future claim type without requiring a schema rewrite or a new codebase per claim type.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system is genuinely generic only when three concerns are kept separate and independently configurable: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 data — what happened, who is involved, and how much is being claimed.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Workflow state — where a given claim currently sits in its process.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Workflow definition — what states and transitions are possible, and under what conditions, for a given claim type.</w:t>
      </w:r>
    </w:p>
    <w:p>
      <w:pPr>
        <w:pBdr>
          <w:left w:val="single" w:color="2E5395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Design rule: if adding a new claim type or changing an approval step requires a code deployment, the system is not generic — it is a single workflow with a generic name.</w:t>
      </w:r>
    </w:p>
    <w:p>
      <w:pPr>
        <w:pStyle w:val="Heading1"/>
        <w:spacing w:after="200" w:before="400"/>
      </w:pPr>
      <w:r>
        <w:t xml:space="preserve">2. The Genericity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Enterprise claim systems fail in one of two directions. Overly rigid systems hardcode a single process (e.g., Employee → Manager → Finance → Payment) that cannot represent an insurance or legal claim. Overly loose systems store everything as unstructured key-value data, which becomes unqueryable and impossible to report on at scale.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approach below picks a deliberate middle point: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Universal, relational fields (money, dates, status, parties) are always modeled as real columns — never buried in JSON — because they must be queryable, indexable, and auditable.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Claim-type-specific fields (e.g., vehicle VIN for auto insurance, serial number for warranty, cost center for expense) live in a validated JSON metadata field, governed by a per-claim-type JSON Schema.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Workflow is data, not code — states, transitions, required roles, and conditions are configured per claim type in dedicated tables, evaluated by a rules/state-machine engine at runtime.</w:t>
      </w:r>
    </w:p>
    <w:p>
      <w:pPr>
        <w:pStyle w:val="Heading1"/>
        <w:spacing w:after="200" w:before="400"/>
      </w:pPr>
      <w:r>
        <w:t xml:space="preserve">3. System Architecture — Core Modules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module structure below is organized by capability. Each module is designed to operate against any claim type through the configuration layer described in Section 2.</w:t>
      </w:r>
    </w:p>
    <w:p>
      <w:pPr>
        <w:pStyle w:val="Heading3"/>
        <w:spacing w:after="100" w:before="200"/>
      </w:pPr>
      <w:r>
        <w:t xml:space="preserve">3.1 Authentication &amp; Authorization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login, SSO / Azure AD / SAML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access control (RBAC) with attribute-based overrides (department, region, claim amount tier)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Segregation of duties enforced at the transition level — submitter, reviewer, and approver must be distinct identities</w:t>
      </w:r>
    </w:p>
    <w:p>
      <w:pPr>
        <w:pStyle w:val="Heading3"/>
        <w:spacing w:after="100" w:before="200"/>
      </w:pPr>
      <w:r>
        <w:t xml:space="preserve">3.2 Claim Intake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 creation (First Notice of Loss / Claim Submission)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Dynamic form rendering driven by ClaimType schema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Draft saving, validation rules, duplicate-claim detection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 upload at intake</w:t>
      </w:r>
    </w:p>
    <w:p>
      <w:pPr>
        <w:pStyle w:val="Heading3"/>
        <w:spacing w:after="100" w:before="200"/>
      </w:pPr>
      <w:r>
        <w:t xml:space="preserve">3.3 Claim Processing (Workflow Engine)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Configurable state machine per claim type (not hardcoded)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Conditional routing (amount thresholds, risk score, claim type)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Manual actions: review, approve, reject, request additional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Escalation on SLA breach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Reopen and dispute/appeal paths as first-class transitions</w:t>
      </w:r>
    </w:p>
    <w:p>
      <w:pPr>
        <w:pStyle w:val="Heading3"/>
        <w:spacing w:after="100" w:before="200"/>
      </w:pPr>
      <w:r>
        <w:t xml:space="preserve">3.4 Document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Attachment storage with version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OCR extraction with structured field mapping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Verification status per document</w:t>
      </w:r>
    </w:p>
    <w:p>
      <w:pPr>
        <w:pStyle w:val="Heading3"/>
        <w:spacing w:after="100" w:before="200"/>
      </w:pPr>
      <w:r>
        <w:t xml:space="preserve">3.5 Payments &amp; Disbursement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Partial payments, multiple disbursements, and clawbacks as separate records from the claim itself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Idempotent integration with payment gateways / policy systems</w:t>
      </w:r>
    </w:p>
    <w:p>
      <w:pPr>
        <w:pStyle w:val="Heading3"/>
        <w:spacing w:after="100" w:before="200"/>
      </w:pPr>
      <w:r>
        <w:t xml:space="preserve">3.6 Audit Trail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Immutable log of all state changes, field changes to financial data, and actor identity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Separate log for AI/automated decisions, including confidence and rationale</w:t>
      </w:r>
    </w:p>
    <w:p>
      <w:pPr>
        <w:pStyle w:val="Heading3"/>
        <w:spacing w:after="100" w:before="200"/>
      </w:pPr>
      <w:r>
        <w:t xml:space="preserve">3.7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Email, SMS, Teams/Slack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Templated, claim-type-aware messaging tied to workflow transitions</w:t>
      </w:r>
    </w:p>
    <w:p>
      <w:pPr>
        <w:pStyle w:val="Heading3"/>
        <w:spacing w:after="100" w:before="200"/>
      </w:pPr>
      <w:r>
        <w:t xml:space="preserve">3.8 Reporting &amp;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 volume, approval/denial rates, SLA compliance, fraud flag rates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Served from a reporting layer / data warehouse, not directly from OLTP tables</w:t>
      </w:r>
    </w:p>
    <w:p>
      <w:pPr>
        <w:pStyle w:val="Heading3"/>
        <w:spacing w:after="100" w:before="200"/>
      </w:pPr>
      <w:r>
        <w:t xml:space="preserve">3.9 AI Assistant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 analysis and structured data extraction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Policy / contract lookup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 summarization for adjusters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Fraud detection scoring, feeding into (not bypassing) the approval workflow</w:t>
      </w:r>
    </w:p>
    <w:p>
      <w:pPr>
        <w:pStyle w:val="Heading1"/>
        <w:spacing w:after="200" w:before="400"/>
      </w:pPr>
      <w:r>
        <w:t xml:space="preserve">4. Core Entity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schema below separates claim data, workflow configuration, workflow state, and support entities. Financial and status fields are always relational columns; type-specific attributes live in a governed JSON metadata field.</w:t>
      </w:r>
    </w:p>
    <w:p>
      <w:pPr>
        <w:pStyle w:val="Heading3"/>
        <w:spacing w:after="100" w:before="200"/>
      </w:pPr>
      <w:r>
        <w:t xml:space="preserve">ClaimType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Defines a category of claim (insurance, warranty, expense, legal, etc.) and the schema/workflow that governs 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e.g., 'Auto Insurance', 'Product Warranty', 'Travel Expense'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Human-readable description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schema_definition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JSON Schema used to validate the claim's metadata field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default_workflow_id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WorkflowDefinition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Whether new claims of this type can be created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Claim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aggregate root. Fields here are universal across all claim types; anything type-specific goes into metadata.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claim_number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Human-readable, tenant-scoped sequential identifier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tenant_id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Organization/business unit — required even for current single-tenant deployments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claim_type_id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ClaimType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source_reference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Nullable reference to policy/contract/order this claim relates to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claimant_id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primary claimant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Denormalized current state label, kept in sync with current_workflow_state_id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current_workflow_state_id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WorkflowState — authoritative current position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amount_claimed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Decimal — always relational, never in JSON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amount_approved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Decimal, nullable until decisioned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currency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 4217 currency code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incident_date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the claimable event occurred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reported_date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the claim was filed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handler/adjuster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 / Medium / High / Critical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sla_due_at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Computed from current state's SLA rule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metadata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JSONB — claim-type-specific fields, validated against ClaimType.schema_definition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Standard timestamps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WorkflowDefinition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 named, versioned process definition, scoped to one or more claim types.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e.g., 'Standard Insurance Claim v3'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Integer — supports safe iteration without breaking in-flight claims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claim_type_id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ClaimType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Whether new claims use this version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WorkflowState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 single node in the state machine (e.g., Intake, Under Review, Pending Approval, Closed).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workflow_id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WorkflowDefinition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State label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is_terminal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Whether this state ends the claim lifecycle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sla_hours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 budget before escalation triggers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WorkflowTransition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An allowed move between two states, with the guard conditions and role required to trigger 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from_state_id / to_state_id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FKs to WorkflowState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required_role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 permitted to trigger this transition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required_action_name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e.g., 'approve', 'request_info', 'escalate'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conditions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JSON — e.g., auto-route if amount_claimed &lt; threshold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ClaimStateHistory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Append-only, immutable audit trail of every state change. Never updated in place.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Claim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from_state_id / to_state_id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FKs to WorkflowState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actor_id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Who performed the transition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actor_type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/ system / rule_engine / ai_assistant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comment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Free-text rationale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payload_snapshot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Snapshot of relevant claim fields at time of transition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ClaimParticipant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Many-to-many link — a claim is rarely only the claimant; witnesses, approvers, and third parties all attach here.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Claim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party_id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person/organization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claimant / witness / adjuster / approver / third_party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ClaimDocument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Attachments with OCR and verification metadata.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Claim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e.g., invoice, police_report, photo, receipt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file_ref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Storage pointer (S3/Blob key)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 number for amended documents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uploaded_by / uploaded_at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Actor and timestamp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ocr_extracted_data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JSON — structured fields pulled from the document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verified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Boolean — whether a human confirmed OCR output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Payment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Disbursement records, kept separate from Claim to allow multiple partial payments or clawbacks.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Claim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currency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 4217 currency code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ACH, card, check, etc.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pending / completed / failed / clawed_back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approver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external_transaction_ref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Idempotency key / gateway reference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paid_at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ApprovalRule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Threshold- and role-based routing, modeled as data so ops can change approval tiers without a deployment.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claim_type_id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ClaimType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min_amount / max_amount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Range this rule applies to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required_approval_tier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e.g., single-approver, dual-approver, committee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required_role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Role(s) authorized to approve at this tier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FraudSignal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Risk scoring output, feeding into — not replacing — human decisioning.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Claim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score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Numeric risk score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 of the scoring model used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flagged_rules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JSON — which rules/features triggered the score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reviewed_by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human reviewer, nullable until reviewed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AIAuditLog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Every AI-assisted action, tied to what the AI acted on and what decision (if any) it fed.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Claim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decision_type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e.g., document_extraction, fraud_scoring, summarization, auto_approval_recommendation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prompt / response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Input and output of the AI call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confidence_score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 confidence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linked_transition_id</w:t>
            </w:r>
          </w:p>
        </w:tc>
        <w:tc>
          <w:tcPr>
            <w:tcW w:type="dxa" w:w="615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to WorkflowTransition, if the AI output triggered or gated a transition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</w:tr>
    </w:tbl>
    <w:p>
      <w:pPr>
        <w:spacing w:after="240"/>
      </w:pPr>
    </w:p>
    <w:p>
      <w:pPr>
        <w:pStyle w:val="Heading1"/>
        <w:spacing w:after="200" w:before="400"/>
      </w:pPr>
      <w:r>
        <w:t xml:space="preserve">5. Workflow Engine — Configured, Not Hardcoded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Rather than a single fixed sequence, each ClaimType references a WorkflowDefinition composed of WorkflowState and WorkflowTransition records. The diagram below shows a representative default — the actual states, roles, and conditions differ per claim type and are stored as data.</w:t>
      </w:r>
    </w:p>
    <w:p>
      <w:pPr>
        <w:pStyle w:val="Heading3"/>
        <w:spacing w:after="100" w:before="200"/>
      </w:pPr>
      <w:r>
        <w:t xml:space="preserve">5.1 Representative Default States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Draft / Intake (First Notice of Loss)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Triage — auto-routed by claim type, amount, and risk score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Under Investigation — documentation requested, handler assigned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Pending Approval — routed to the approval tier defined in ApprovalRule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Approved / Partially Approved / Denied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Payment Processing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Closed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Reopened — explicit transition from Closed, with mandatory reason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Disputed / Appealed — explicit transition from Denied</w:t>
      </w:r>
    </w:p>
    <w:p>
      <w:pPr>
        <w:pBdr>
          <w:left w:val="single" w:color="2E5395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Reopened and Disputed states are frequently omitted in early designs and then bolted on later as workarounds. Model them from the start.</w:t>
      </w:r>
    </w:p>
    <w:p>
      <w:pPr>
        <w:pStyle w:val="Heading3"/>
        <w:spacing w:after="100" w:before="200"/>
      </w:pPr>
      <w:r>
        <w:t xml:space="preserve">5.2 Transition Guards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WorkflowTransition can carry a condition, evaluated at runtime, such 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amount_claimed &lt; auto_approval_threshold → route directly to Approved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fraud_score &gt; risk_threshold → force route to Under Investigation regardless of amount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required_role = 'Finance Approver' AND actor_id != submitter_id (segregation of duties)</w:t>
      </w:r>
    </w:p>
    <w:p>
      <w:pPr>
        <w:pStyle w:val="Heading1"/>
        <w:spacing w:after="200" w:before="400"/>
      </w:pPr>
      <w:r>
        <w:t xml:space="preserve">6. Enterprise-Grade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Multi-tenancy from day one — tenant_id on every table, even in single-tenant deployments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Multi-currency support on all monetary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Immutable audit logging sufficient for compliance and legal discovery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Idempotent external integrations (payment gateways, policy systems) to prevent duplicate disbursement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SLA tracking with automatic escalation on breach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Reporting layer decoupled from transactional tables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Configurable approval matrices and delegation of authority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 versioning for amended submissions</w:t>
      </w:r>
    </w:p>
    <w:p>
      <w:pPr>
        <w:pStyle w:val="Heading1"/>
        <w:spacing w:after="200" w:before="400"/>
      </w:pPr>
      <w:r>
        <w:t xml:space="preserve">7. Anti-Patterns to Avoid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single Claims table with dozens of nullable columns to cover every claim type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 modeled as a free string with no transition table — no place to enforce which changes are valid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Skipping the audit/history table under the assumption it can be 'added later'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Conflating claim-type variation with tenant variation — these are separate axes and mixing them creates unmaintainable schemas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Hardcoding a single approval chain (e.g., Manager → Finance) instead of a configurable approval matrix</w:t>
      </w:r>
    </w:p>
    <w:p>
      <w:pPr>
        <w:pStyle w:val="Heading1"/>
        <w:spacing w:after="200" w:before="400"/>
      </w:pPr>
      <w:r>
        <w:t xml:space="preserve">8. Example: One Schema, Three Claim Types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table below shows how the same relational schema serves three different domains purely through ClaimType configuration and metadata — no schema changes required.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17"/>
        <w:gridCol w:w="2317"/>
        <w:gridCol w:w="231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231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 Insurance</w:t>
            </w:r>
          </w:p>
        </w:tc>
        <w:tc>
          <w:tcPr>
            <w:tcW w:type="dxa" w:w="231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Warranty</w:t>
            </w:r>
          </w:p>
        </w:tc>
        <w:tc>
          <w:tcPr>
            <w:tcW w:type="dxa" w:w="23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Employee Expense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metadata fields</w:t>
            </w:r>
          </w:p>
        </w:tc>
        <w:tc>
          <w:tcPr>
            <w:tcW w:type="dxa" w:w="2317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VIN, policy #, accident location</w:t>
            </w:r>
          </w:p>
        </w:tc>
        <w:tc>
          <w:tcPr>
            <w:tcW w:type="dxa" w:w="2317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Serial #, purchase date, retailer</w:t>
            </w:r>
          </w:p>
        </w:tc>
        <w:tc>
          <w:tcPr>
            <w:tcW w:type="dxa" w:w="2316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Cost center, project code, receipt #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Initial workflow state</w:t>
            </w:r>
          </w:p>
        </w:tc>
        <w:tc>
          <w:tcPr>
            <w:tcW w:type="dxa" w:w="23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FNOL Intake</w:t>
            </w:r>
          </w:p>
        </w:tc>
        <w:tc>
          <w:tcPr>
            <w:tcW w:type="dxa" w:w="23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Warranty Claim Intake</w:t>
            </w:r>
          </w:p>
        </w:tc>
        <w:tc>
          <w:tcPr>
            <w:tcW w:type="dxa" w:w="23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Approval routing</w:t>
            </w:r>
          </w:p>
        </w:tc>
        <w:tc>
          <w:tcPr>
            <w:tcW w:type="dxa" w:w="2317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Adjuster → Risk Review → Approver</w:t>
            </w:r>
          </w:p>
        </w:tc>
        <w:tc>
          <w:tcPr>
            <w:tcW w:type="dxa" w:w="2317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 Agent → Auto-approve if in policy</w:t>
            </w:r>
          </w:p>
        </w:tc>
        <w:tc>
          <w:tcPr>
            <w:tcW w:type="dxa" w:w="2316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Manager → Finance (amount-tiered)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Terminal states</w:t>
            </w:r>
          </w:p>
        </w:tc>
        <w:tc>
          <w:tcPr>
            <w:tcW w:type="dxa" w:w="23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Closed, Denied, Disputed</w:t>
            </w:r>
          </w:p>
        </w:tc>
        <w:tc>
          <w:tcPr>
            <w:tcW w:type="dxa" w:w="23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Closed, Denied</w:t>
            </w:r>
          </w:p>
        </w:tc>
        <w:tc>
          <w:tcPr>
            <w:tcW w:type="dxa" w:w="23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Closed, Denied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the practical test of genericity: adding a new claim type should mean inserting rows into ClaimType, WorkflowDefinition, WorkflowState, WorkflowTransition, and ApprovalRule — not writing new tables or redeploying code.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Enterprise Claim Management — Generic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2026-07-08T05:22:05.365Z</dcterms:created>
  <dcterms:modified xsi:type="dcterms:W3CDTF">2026-07-08T05:22:05.365Z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