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FA8CA" w14:textId="77777777" w:rsidR="00150721" w:rsidRPr="00DA2C6C" w:rsidRDefault="00150721" w:rsidP="00150721">
      <w:pPr>
        <w:rPr>
          <w:b/>
        </w:rPr>
      </w:pPr>
      <w:r>
        <w:rPr>
          <w:b/>
        </w:rPr>
        <w:t>Question 6.2</w:t>
      </w:r>
    </w:p>
    <w:p w14:paraId="772AFB3C" w14:textId="77777777" w:rsidR="00150721" w:rsidRPr="00DA2C6C" w:rsidRDefault="00150721" w:rsidP="00150721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46F5334B" w14:textId="77777777" w:rsidR="00150721" w:rsidRPr="00150721" w:rsidRDefault="00150721" w:rsidP="0015072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LMRoman10-Regular"/>
          <w:i/>
        </w:rPr>
      </w:pPr>
      <w:r w:rsidRPr="00150721">
        <w:rPr>
          <w:rFonts w:cs="LMRoman10-Regular"/>
          <w:i/>
        </w:rPr>
        <w:t xml:space="preserve">Using July through October daily-high-temperature data for Atlanta for 1996 through 2015, use a CUSUM approach to identify when unofficial summer ends (i.e., when the weather starts cooling off) each year.  You can get the data that you need from the file </w:t>
      </w:r>
      <w:r w:rsidRPr="00150721">
        <w:rPr>
          <w:rFonts w:ascii="Courier New" w:hAnsi="Courier New" w:cs="Courier New"/>
          <w:i/>
        </w:rPr>
        <w:t>temps.txt</w:t>
      </w:r>
      <w:r w:rsidRPr="00150721">
        <w:rPr>
          <w:rFonts w:cs="LMRoman10-Regular"/>
          <w:i/>
        </w:rPr>
        <w:t xml:space="preserve"> or online, for example at </w:t>
      </w:r>
      <w:hyperlink r:id="rId8" w:history="1">
        <w:r w:rsidRPr="00150721">
          <w:rPr>
            <w:rStyle w:val="Hyperlink"/>
            <w:rFonts w:cs="LMMono10-Regular"/>
            <w:i/>
          </w:rPr>
          <w:t>http://www.iweathernet.com/</w:t>
        </w:r>
        <w:bookmarkStart w:id="0" w:name="_GoBack"/>
        <w:bookmarkEnd w:id="0"/>
        <w:r w:rsidRPr="00150721">
          <w:rPr>
            <w:rStyle w:val="Hyperlink"/>
            <w:rFonts w:cs="LMMono10-Regular"/>
            <w:i/>
          </w:rPr>
          <w:t>atlanta-weather-records</w:t>
        </w:r>
      </w:hyperlink>
      <w:r w:rsidRPr="00150721">
        <w:rPr>
          <w:rFonts w:cs="LMMono10-Regular"/>
          <w:i/>
        </w:rPr>
        <w:t xml:space="preserve">  </w:t>
      </w:r>
      <w:r w:rsidRPr="00150721">
        <w:rPr>
          <w:rFonts w:cs="LMRoman10-Regular"/>
          <w:i/>
        </w:rPr>
        <w:t xml:space="preserve">or </w:t>
      </w:r>
      <w:hyperlink r:id="rId9" w:history="1">
        <w:r w:rsidRPr="00150721">
          <w:rPr>
            <w:rStyle w:val="Hyperlink"/>
            <w:rFonts w:cs="LMMono10-Regular"/>
            <w:i/>
          </w:rPr>
          <w:t>https://www.wunderground.com/history/airport/KFTY/2015/7/1/CustomHistory.html</w:t>
        </w:r>
      </w:hyperlink>
      <w:r w:rsidRPr="00150721">
        <w:rPr>
          <w:rFonts w:cs="LMMono10-Regular"/>
          <w:i/>
        </w:rPr>
        <w:t xml:space="preserve"> </w:t>
      </w:r>
      <w:r w:rsidRPr="00150721">
        <w:rPr>
          <w:rFonts w:cs="LMRoman10-Regular"/>
          <w:i/>
        </w:rPr>
        <w:t>.  You can use R if you’d like, but it’s straightforward enough that an Excel spreadsheet can easily do the job too.</w:t>
      </w:r>
    </w:p>
    <w:p w14:paraId="47BD9FE2" w14:textId="77777777" w:rsidR="00150721" w:rsidRPr="00150721" w:rsidRDefault="00150721" w:rsidP="0015072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i/>
        </w:rPr>
      </w:pPr>
      <w:r w:rsidRPr="00150721">
        <w:rPr>
          <w:rFonts w:cs="LMRoman10-Regular"/>
          <w:i/>
        </w:rPr>
        <w:t>Use a CUSUM approach to make a judgment of whether Atlanta’s summer climate has gotten warmer in that time (and if so, when).</w:t>
      </w:r>
    </w:p>
    <w:p w14:paraId="499E1641" w14:textId="77777777" w:rsidR="00E6255D" w:rsidRDefault="00E6255D" w:rsidP="00E6255D">
      <w:pPr>
        <w:pStyle w:val="ListParagraph"/>
        <w:autoSpaceDE w:val="0"/>
        <w:autoSpaceDN w:val="0"/>
        <w:adjustRightInd w:val="0"/>
        <w:ind w:left="360" w:hanging="360"/>
      </w:pPr>
    </w:p>
    <w:p w14:paraId="3A54F550" w14:textId="6A008B97" w:rsidR="009F1E15" w:rsidRPr="00F5488B" w:rsidRDefault="009F1E15" w:rsidP="009F1E15">
      <w:pPr>
        <w:pStyle w:val="ListParagraph"/>
        <w:autoSpaceDE w:val="0"/>
        <w:autoSpaceDN w:val="0"/>
        <w:adjustRightInd w:val="0"/>
        <w:ind w:left="0"/>
      </w:pPr>
      <w:r w:rsidRPr="00F5488B">
        <w:t>Here</w:t>
      </w:r>
      <w:r w:rsidR="0007529E" w:rsidRPr="00F5488B">
        <w:t xml:space="preserve"> are two</w:t>
      </w:r>
      <w:r w:rsidRPr="00F5488B">
        <w:t xml:space="preserve"> approach</w:t>
      </w:r>
      <w:r w:rsidR="0007529E" w:rsidRPr="00F5488B">
        <w:t>es</w:t>
      </w:r>
      <w:r w:rsidRPr="00F5488B">
        <w:t xml:space="preserve">.  </w:t>
      </w:r>
      <w:r w:rsidRPr="00F5488B">
        <w:rPr>
          <w:rFonts w:cs="Calibri"/>
          <w:bCs/>
          <w:u w:val="single"/>
        </w:rPr>
        <w:t>Please note that there are other good approaches too, and a good solution doesn’t have to try all of the possibilities in here; they’re shown to help you learn, but they’re not necessary.</w:t>
      </w:r>
      <w:r w:rsidR="007B6602" w:rsidRPr="00F5488B">
        <w:rPr>
          <w:rFonts w:cs="Calibri"/>
          <w:bCs/>
          <w:u w:val="single"/>
        </w:rPr>
        <w:t xml:space="preserve">  It also might be that  some people interpreted the question differently, and have a good solution to the question as they understood it – that’s perfectly fine too.  All I really care about is that you’re learning how to use the CUSUM model.</w:t>
      </w:r>
    </w:p>
    <w:p w14:paraId="6853D3DA" w14:textId="77777777" w:rsidR="009F1E15" w:rsidRDefault="009F1E15" w:rsidP="00E6255D">
      <w:pPr>
        <w:pStyle w:val="ListParagraph"/>
        <w:autoSpaceDE w:val="0"/>
        <w:autoSpaceDN w:val="0"/>
        <w:adjustRightInd w:val="0"/>
        <w:ind w:left="360" w:hanging="360"/>
      </w:pPr>
    </w:p>
    <w:p w14:paraId="40D5B65A" w14:textId="03AC06E6" w:rsidR="009F1E15" w:rsidRDefault="009F1E15" w:rsidP="009F1E15">
      <w:pPr>
        <w:pStyle w:val="ListParagraph"/>
        <w:autoSpaceDE w:val="0"/>
        <w:autoSpaceDN w:val="0"/>
        <w:adjustRightInd w:val="0"/>
        <w:ind w:left="0"/>
      </w:pPr>
      <w:r>
        <w:t xml:space="preserve">The file </w:t>
      </w:r>
      <w:r w:rsidR="00150721" w:rsidRPr="00150721">
        <w:rPr>
          <w:rFonts w:ascii="Courier New" w:hAnsi="Courier New" w:cs="Courier New"/>
        </w:rPr>
        <w:t>solution 6.2.</w:t>
      </w:r>
      <w:r w:rsidRPr="00150721">
        <w:rPr>
          <w:rFonts w:ascii="Courier New" w:hAnsi="Courier New" w:cs="Courier New"/>
        </w:rPr>
        <w:t>xlsx</w:t>
      </w:r>
      <w:r w:rsidR="00F95C5F">
        <w:t xml:space="preserve"> (sheet Part 1 Approach 1)</w:t>
      </w:r>
      <w:r>
        <w:t xml:space="preserve"> shows </w:t>
      </w:r>
      <w:r w:rsidR="0007529E">
        <w:t>the first approach.  The “temps” sheet shows the raw data, and the “</w:t>
      </w:r>
      <w:r w:rsidR="002962F0">
        <w:t>Part 1 Approach 1</w:t>
      </w:r>
      <w:r w:rsidR="0007529E">
        <w:t xml:space="preserve">” sheet shows </w:t>
      </w:r>
      <w:r>
        <w:t xml:space="preserve">a CUSUM calculation.  (Note: Column C is set to turn green starting at the first detected change, using conditional formatting.)  For each day (July 1 through October 31), we take the average temperature over the 20-year period 1996-2015.  To define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, the average temperature before any change, we use the average of the average July temperatures (i.e., the average of: July 1’s average, July 2’s average, …, July 31’s average)</w:t>
      </w:r>
      <w:r w:rsidR="00CF6706"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>.  That turns out to be 88.75, which is pretty reasonable compared to the July average temperature range from 87 to 90.4.</w:t>
      </w:r>
    </w:p>
    <w:p w14:paraId="54810A5F" w14:textId="77777777" w:rsidR="009F1E15" w:rsidRDefault="009F1E15" w:rsidP="00E6255D">
      <w:pPr>
        <w:pStyle w:val="ListParagraph"/>
        <w:autoSpaceDE w:val="0"/>
        <w:autoSpaceDN w:val="0"/>
        <w:adjustRightInd w:val="0"/>
        <w:ind w:left="360" w:hanging="360"/>
      </w:pPr>
    </w:p>
    <w:p w14:paraId="433E3B0D" w14:textId="63B27BEB" w:rsidR="009F1E15" w:rsidRDefault="009F1E15" w:rsidP="009F1E15">
      <w:pPr>
        <w:pStyle w:val="ListParagraph"/>
        <w:autoSpaceDE w:val="0"/>
        <w:autoSpaceDN w:val="0"/>
        <w:adjustRightInd w:val="0"/>
        <w:ind w:left="0"/>
      </w:pPr>
      <w:r>
        <w:t>By changing the values in cells D1 and F1, you can test different values of C and T, some of which are shown in this chart:</w:t>
      </w:r>
    </w:p>
    <w:p w14:paraId="4E210465" w14:textId="77777777" w:rsidR="009F1E15" w:rsidRDefault="009F1E15" w:rsidP="00E6255D">
      <w:pPr>
        <w:pStyle w:val="ListParagraph"/>
        <w:autoSpaceDE w:val="0"/>
        <w:autoSpaceDN w:val="0"/>
        <w:adjustRightInd w:val="0"/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1"/>
        <w:gridCol w:w="1051"/>
        <w:gridCol w:w="1066"/>
        <w:gridCol w:w="1440"/>
      </w:tblGrid>
      <w:tr w:rsidR="009F1E15" w:rsidRPr="00021A46" w14:paraId="29A30D6A" w14:textId="201F63AA" w:rsidTr="00F0149D">
        <w:tc>
          <w:tcPr>
            <w:tcW w:w="1051" w:type="dxa"/>
          </w:tcPr>
          <w:p w14:paraId="4DE46908" w14:textId="014F97A1" w:rsidR="009F1E15" w:rsidRPr="00021A46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021A46">
              <w:rPr>
                <w:b/>
              </w:rPr>
              <w:t>C</w:t>
            </w:r>
          </w:p>
        </w:tc>
        <w:tc>
          <w:tcPr>
            <w:tcW w:w="1051" w:type="dxa"/>
          </w:tcPr>
          <w:p w14:paraId="4E9E2921" w14:textId="65789D0E" w:rsidR="009F1E15" w:rsidRPr="00021A46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021A46">
              <w:rPr>
                <w:b/>
              </w:rPr>
              <w:t>T</w:t>
            </w:r>
          </w:p>
        </w:tc>
        <w:tc>
          <w:tcPr>
            <w:tcW w:w="1066" w:type="dxa"/>
          </w:tcPr>
          <w:p w14:paraId="249CACEF" w14:textId="5F2E0A50" w:rsidR="009F1E15" w:rsidRPr="00021A46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021A46">
              <w:rPr>
                <w:b/>
              </w:rPr>
              <w:t>Change detected</w:t>
            </w:r>
          </w:p>
        </w:tc>
        <w:tc>
          <w:tcPr>
            <w:tcW w:w="1440" w:type="dxa"/>
          </w:tcPr>
          <w:p w14:paraId="6F3F28A7" w14:textId="611ADBB1" w:rsidR="009F1E15" w:rsidRPr="00021A46" w:rsidRDefault="00F0149D" w:rsidP="00F0149D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proofErr w:type="spellStart"/>
            <w:r>
              <w:rPr>
                <w:b/>
              </w:rPr>
              <w:t>Avg</w:t>
            </w:r>
            <w:proofErr w:type="spellEnd"/>
            <w:r>
              <w:rPr>
                <w:b/>
              </w:rPr>
              <w:t xml:space="preserve"> t</w:t>
            </w:r>
            <w:r w:rsidR="009F1E15" w:rsidRPr="00021A46">
              <w:rPr>
                <w:b/>
              </w:rPr>
              <w:t>emp on change date</w:t>
            </w:r>
          </w:p>
        </w:tc>
      </w:tr>
      <w:tr w:rsidR="009F1E15" w14:paraId="2399C236" w14:textId="65077BD6" w:rsidTr="00F0149D">
        <w:tc>
          <w:tcPr>
            <w:tcW w:w="1051" w:type="dxa"/>
          </w:tcPr>
          <w:p w14:paraId="6F466503" w14:textId="044E7768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5</w:t>
            </w:r>
          </w:p>
        </w:tc>
        <w:tc>
          <w:tcPr>
            <w:tcW w:w="1051" w:type="dxa"/>
          </w:tcPr>
          <w:p w14:paraId="7A9E0532" w14:textId="51478A2D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25</w:t>
            </w:r>
          </w:p>
        </w:tc>
        <w:tc>
          <w:tcPr>
            <w:tcW w:w="1066" w:type="dxa"/>
          </w:tcPr>
          <w:p w14:paraId="1B3A3897" w14:textId="136154A4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Sep 26</w:t>
            </w:r>
          </w:p>
        </w:tc>
        <w:tc>
          <w:tcPr>
            <w:tcW w:w="1440" w:type="dxa"/>
          </w:tcPr>
          <w:p w14:paraId="6B26B39B" w14:textId="17F8CE81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78.55</w:t>
            </w:r>
          </w:p>
        </w:tc>
      </w:tr>
      <w:tr w:rsidR="009F1E15" w14:paraId="41B5DAD7" w14:textId="46C52C9B" w:rsidTr="00F0149D">
        <w:tc>
          <w:tcPr>
            <w:tcW w:w="1051" w:type="dxa"/>
          </w:tcPr>
          <w:p w14:paraId="5CBC64C9" w14:textId="3F16E3CF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5</w:t>
            </w:r>
          </w:p>
        </w:tc>
        <w:tc>
          <w:tcPr>
            <w:tcW w:w="1051" w:type="dxa"/>
          </w:tcPr>
          <w:p w14:paraId="427364B0" w14:textId="59D33A04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15</w:t>
            </w:r>
          </w:p>
        </w:tc>
        <w:tc>
          <w:tcPr>
            <w:tcW w:w="1066" w:type="dxa"/>
          </w:tcPr>
          <w:p w14:paraId="5FEA7C77" w14:textId="176592EF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Sep 24</w:t>
            </w:r>
          </w:p>
        </w:tc>
        <w:tc>
          <w:tcPr>
            <w:tcW w:w="1440" w:type="dxa"/>
          </w:tcPr>
          <w:p w14:paraId="154D1459" w14:textId="2EC28862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80.4</w:t>
            </w:r>
          </w:p>
        </w:tc>
      </w:tr>
      <w:tr w:rsidR="009F1E15" w14:paraId="799DDAB7" w14:textId="49124C3C" w:rsidTr="00F0149D">
        <w:tc>
          <w:tcPr>
            <w:tcW w:w="1051" w:type="dxa"/>
          </w:tcPr>
          <w:p w14:paraId="78993C60" w14:textId="77F6DBDC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5</w:t>
            </w:r>
          </w:p>
        </w:tc>
        <w:tc>
          <w:tcPr>
            <w:tcW w:w="1051" w:type="dxa"/>
          </w:tcPr>
          <w:p w14:paraId="29AE19A6" w14:textId="545D72F8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5</w:t>
            </w:r>
          </w:p>
        </w:tc>
        <w:tc>
          <w:tcPr>
            <w:tcW w:w="1066" w:type="dxa"/>
          </w:tcPr>
          <w:p w14:paraId="171AC901" w14:textId="20106B16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Sep 18</w:t>
            </w:r>
          </w:p>
        </w:tc>
        <w:tc>
          <w:tcPr>
            <w:tcW w:w="1440" w:type="dxa"/>
          </w:tcPr>
          <w:p w14:paraId="5E037296" w14:textId="30E90069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81.7</w:t>
            </w:r>
          </w:p>
        </w:tc>
      </w:tr>
      <w:tr w:rsidR="009F1E15" w14:paraId="5EF7E1D2" w14:textId="454FC7B2" w:rsidTr="00F0149D">
        <w:tc>
          <w:tcPr>
            <w:tcW w:w="1051" w:type="dxa"/>
          </w:tcPr>
          <w:p w14:paraId="37DC96E4" w14:textId="75C198AE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  <w:tc>
          <w:tcPr>
            <w:tcW w:w="1051" w:type="dxa"/>
          </w:tcPr>
          <w:p w14:paraId="24957EC6" w14:textId="72D66EB7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25</w:t>
            </w:r>
          </w:p>
        </w:tc>
        <w:tc>
          <w:tcPr>
            <w:tcW w:w="1066" w:type="dxa"/>
          </w:tcPr>
          <w:p w14:paraId="162D3285" w14:textId="276247EF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Sep 9</w:t>
            </w:r>
          </w:p>
        </w:tc>
        <w:tc>
          <w:tcPr>
            <w:tcW w:w="1440" w:type="dxa"/>
          </w:tcPr>
          <w:p w14:paraId="20ACE463" w14:textId="006E736B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85.05</w:t>
            </w:r>
          </w:p>
        </w:tc>
      </w:tr>
      <w:tr w:rsidR="009F1E15" w14:paraId="5F37B2EA" w14:textId="23C272F2" w:rsidTr="00F0149D">
        <w:tc>
          <w:tcPr>
            <w:tcW w:w="1051" w:type="dxa"/>
          </w:tcPr>
          <w:p w14:paraId="669F1665" w14:textId="284E9050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  <w:tc>
          <w:tcPr>
            <w:tcW w:w="1051" w:type="dxa"/>
          </w:tcPr>
          <w:p w14:paraId="002B0A1F" w14:textId="690308A1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15</w:t>
            </w:r>
          </w:p>
        </w:tc>
        <w:tc>
          <w:tcPr>
            <w:tcW w:w="1066" w:type="dxa"/>
          </w:tcPr>
          <w:p w14:paraId="0E2FEA2F" w14:textId="346EFD57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Sep 6</w:t>
            </w:r>
          </w:p>
        </w:tc>
        <w:tc>
          <w:tcPr>
            <w:tcW w:w="1440" w:type="dxa"/>
          </w:tcPr>
          <w:p w14:paraId="75C0849A" w14:textId="20F9C39B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84.6</w:t>
            </w:r>
          </w:p>
        </w:tc>
      </w:tr>
      <w:tr w:rsidR="009F1E15" w14:paraId="1912CD02" w14:textId="75AC0E37" w:rsidTr="00F0149D">
        <w:tc>
          <w:tcPr>
            <w:tcW w:w="1051" w:type="dxa"/>
          </w:tcPr>
          <w:p w14:paraId="76D798CC" w14:textId="28D1D259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  <w:tc>
          <w:tcPr>
            <w:tcW w:w="1051" w:type="dxa"/>
          </w:tcPr>
          <w:p w14:paraId="480DBBB3" w14:textId="147F6D49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5</w:t>
            </w:r>
          </w:p>
        </w:tc>
        <w:tc>
          <w:tcPr>
            <w:tcW w:w="1066" w:type="dxa"/>
          </w:tcPr>
          <w:p w14:paraId="51E6A9F4" w14:textId="779051E6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Sep 1</w:t>
            </w:r>
          </w:p>
        </w:tc>
        <w:tc>
          <w:tcPr>
            <w:tcW w:w="1440" w:type="dxa"/>
          </w:tcPr>
          <w:p w14:paraId="64AA4100" w14:textId="76A2D039" w:rsidR="009F1E15" w:rsidRDefault="009F1E15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85.25</w:t>
            </w:r>
          </w:p>
        </w:tc>
      </w:tr>
      <w:tr w:rsidR="009F1E15" w14:paraId="741DC73A" w14:textId="77777777" w:rsidTr="00F0149D">
        <w:tc>
          <w:tcPr>
            <w:tcW w:w="1051" w:type="dxa"/>
          </w:tcPr>
          <w:p w14:paraId="1C7DBFE4" w14:textId="40F16B39" w:rsidR="009F1E15" w:rsidRDefault="00021A46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0.44262</w:t>
            </w:r>
          </w:p>
        </w:tc>
        <w:tc>
          <w:tcPr>
            <w:tcW w:w="1051" w:type="dxa"/>
          </w:tcPr>
          <w:p w14:paraId="1F374F05" w14:textId="08AB4A12" w:rsidR="009F1E15" w:rsidRDefault="00021A46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4.42625</w:t>
            </w:r>
          </w:p>
        </w:tc>
        <w:tc>
          <w:tcPr>
            <w:tcW w:w="1066" w:type="dxa"/>
          </w:tcPr>
          <w:p w14:paraId="27DF2758" w14:textId="2E453848" w:rsidR="009F1E15" w:rsidRDefault="00021A46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Aug 30</w:t>
            </w:r>
          </w:p>
        </w:tc>
        <w:tc>
          <w:tcPr>
            <w:tcW w:w="1440" w:type="dxa"/>
          </w:tcPr>
          <w:p w14:paraId="36F51B1C" w14:textId="308CEE49" w:rsidR="009F1E15" w:rsidRDefault="00021A46" w:rsidP="00E6255D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85.8</w:t>
            </w:r>
          </w:p>
        </w:tc>
      </w:tr>
    </w:tbl>
    <w:p w14:paraId="5148CF6B" w14:textId="37E81750" w:rsidR="009F1E15" w:rsidRDefault="00426408" w:rsidP="00E6255D">
      <w:pPr>
        <w:pStyle w:val="ListParagraph"/>
        <w:autoSpaceDE w:val="0"/>
        <w:autoSpaceDN w:val="0"/>
        <w:adjustRightInd w:val="0"/>
        <w:ind w:left="360" w:hanging="360"/>
      </w:pPr>
      <w:r>
        <w:tab/>
        <w:t>Table 1</w:t>
      </w:r>
      <w:r w:rsidR="00021A46">
        <w:t>. Change detection for different values of C and T.  The last row shows C as ½ standard deviation of the July data, and T as 5 standard deviations of the July data, which is sometimes used as a default.</w:t>
      </w:r>
    </w:p>
    <w:p w14:paraId="456C465A" w14:textId="77777777" w:rsidR="009F1E15" w:rsidRDefault="009F1E15" w:rsidP="00E6255D">
      <w:pPr>
        <w:pStyle w:val="ListParagraph"/>
        <w:autoSpaceDE w:val="0"/>
        <w:autoSpaceDN w:val="0"/>
        <w:adjustRightInd w:val="0"/>
        <w:ind w:left="360" w:hanging="360"/>
      </w:pPr>
    </w:p>
    <w:p w14:paraId="55A4B8D1" w14:textId="52FF6E11" w:rsidR="00021A46" w:rsidRDefault="00021A46" w:rsidP="00021A46">
      <w:pPr>
        <w:pStyle w:val="ListParagraph"/>
        <w:autoSpaceDE w:val="0"/>
        <w:autoSpaceDN w:val="0"/>
        <w:adjustRightInd w:val="0"/>
        <w:ind w:left="0"/>
      </w:pPr>
      <w:r>
        <w:t xml:space="preserve">My personal judgment (which you don’t have to agree with – there’s not a single “right” answer) is that the default values are too sensitive.  There is a small change (from the 87-88 range to the 85 range) that </w:t>
      </w:r>
      <w:r>
        <w:lastRenderedPageBreak/>
        <w:t>starts on August 30, but that change seems too small to call the end of summer.  Something closer to Sep 24 or 25 seems like a more-significant change.</w:t>
      </w:r>
      <w:r w:rsidR="00813F58">
        <w:t xml:space="preserve">  On the other hand, the graph below </w:t>
      </w:r>
      <w:r w:rsidR="0041413D">
        <w:t>does seem</w:t>
      </w:r>
      <w:r w:rsidR="00813F58">
        <w:t xml:space="preserve"> to show a change around the end of August</w:t>
      </w:r>
      <w:r w:rsidR="0041413D">
        <w:t xml:space="preserve"> (close to Labor Day, the traditional end of summer).</w:t>
      </w:r>
    </w:p>
    <w:p w14:paraId="289F9CB6" w14:textId="77777777" w:rsidR="00021A46" w:rsidRDefault="00021A46" w:rsidP="00E6255D">
      <w:pPr>
        <w:pStyle w:val="ListParagraph"/>
        <w:autoSpaceDE w:val="0"/>
        <w:autoSpaceDN w:val="0"/>
        <w:adjustRightInd w:val="0"/>
        <w:ind w:left="360" w:hanging="360"/>
      </w:pPr>
    </w:p>
    <w:p w14:paraId="2C2E5FB0" w14:textId="342A0C35" w:rsidR="0041413D" w:rsidRDefault="0041413D" w:rsidP="00E6255D">
      <w:pPr>
        <w:pStyle w:val="ListParagraph"/>
        <w:autoSpaceDE w:val="0"/>
        <w:autoSpaceDN w:val="0"/>
        <w:adjustRightInd w:val="0"/>
        <w:ind w:left="360" w:hanging="360"/>
      </w:pPr>
      <w:r>
        <w:rPr>
          <w:noProof/>
        </w:rPr>
        <w:drawing>
          <wp:inline distT="0" distB="0" distL="0" distR="0" wp14:anchorId="4C231A6E" wp14:editId="79B9CB3E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B70F32" w14:textId="13169282" w:rsidR="0041413D" w:rsidRDefault="0041413D" w:rsidP="00E6255D">
      <w:pPr>
        <w:pStyle w:val="ListParagraph"/>
        <w:autoSpaceDE w:val="0"/>
        <w:autoSpaceDN w:val="0"/>
        <w:adjustRightInd w:val="0"/>
        <w:ind w:left="360" w:hanging="360"/>
      </w:pPr>
      <w:r>
        <w:tab/>
        <w:t xml:space="preserve">Figure </w:t>
      </w:r>
      <w:r w:rsidR="00426408">
        <w:t>2</w:t>
      </w:r>
      <w:r>
        <w:t>. Average (1996-2015) temperature  day by day.</w:t>
      </w:r>
    </w:p>
    <w:p w14:paraId="74CECCCC" w14:textId="77777777" w:rsidR="0041413D" w:rsidRDefault="0041413D" w:rsidP="00E6255D">
      <w:pPr>
        <w:pStyle w:val="ListParagraph"/>
        <w:autoSpaceDE w:val="0"/>
        <w:autoSpaceDN w:val="0"/>
        <w:adjustRightInd w:val="0"/>
        <w:ind w:left="360" w:hanging="360"/>
      </w:pPr>
    </w:p>
    <w:p w14:paraId="4F7C4649" w14:textId="5582B0A6" w:rsidR="004B506A" w:rsidRDefault="004B506A" w:rsidP="006B595F">
      <w:pPr>
        <w:pStyle w:val="ListParagraph"/>
        <w:autoSpaceDE w:val="0"/>
        <w:autoSpaceDN w:val="0"/>
        <w:adjustRightInd w:val="0"/>
        <w:ind w:left="0"/>
      </w:pPr>
      <w:r>
        <w:t xml:space="preserve">A second approach is shown in the file </w:t>
      </w:r>
      <w:r w:rsidR="00150721">
        <w:rPr>
          <w:rFonts w:ascii="Courier New" w:hAnsi="Courier New" w:cs="Courier New"/>
        </w:rPr>
        <w:t>solution 6.2</w:t>
      </w:r>
      <w:r w:rsidRPr="00150721">
        <w:rPr>
          <w:rFonts w:ascii="Courier New" w:hAnsi="Courier New" w:cs="Courier New"/>
        </w:rPr>
        <w:t>.</w:t>
      </w:r>
      <w:r w:rsidR="000D4ADE" w:rsidRPr="00150721">
        <w:rPr>
          <w:rFonts w:ascii="Courier New" w:hAnsi="Courier New" w:cs="Courier New"/>
        </w:rPr>
        <w:t>xlsx</w:t>
      </w:r>
      <w:r w:rsidR="00F95C5F">
        <w:t xml:space="preserve"> (sheet “Part 1 Approach 2”)</w:t>
      </w:r>
      <w:r w:rsidR="000D4ADE">
        <w:t>.</w:t>
      </w:r>
      <w:r>
        <w:t xml:space="preserve">  In this approach, we find the change point for each year individually, and then </w:t>
      </w:r>
      <w:r w:rsidR="005108CE">
        <w:t>average them.</w:t>
      </w:r>
    </w:p>
    <w:p w14:paraId="7DE5999E" w14:textId="77777777" w:rsidR="005108CE" w:rsidRDefault="005108CE" w:rsidP="00E6255D">
      <w:pPr>
        <w:pStyle w:val="ListParagraph"/>
        <w:autoSpaceDE w:val="0"/>
        <w:autoSpaceDN w:val="0"/>
        <w:adjustRightInd w:val="0"/>
        <w:ind w:left="360" w:hanging="360"/>
      </w:pPr>
    </w:p>
    <w:p w14:paraId="68B59E44" w14:textId="47B3D7FC" w:rsidR="005108CE" w:rsidRDefault="0051110A" w:rsidP="0051110A">
      <w:pPr>
        <w:pStyle w:val="ListParagraph"/>
        <w:autoSpaceDE w:val="0"/>
        <w:autoSpaceDN w:val="0"/>
        <w:adjustRightInd w:val="0"/>
        <w:ind w:left="0"/>
      </w:pPr>
      <w:r>
        <w:t>In the “CUSUM” sheet, each column B through U corresponds to a year.  B1</w:t>
      </w:r>
      <w:r w:rsidR="0041413D">
        <w:t>2</w:t>
      </w:r>
      <w:r>
        <w:t>:B13</w:t>
      </w:r>
      <w:r w:rsidR="0041413D">
        <w:t>4</w:t>
      </w:r>
      <w:r>
        <w:t>, C1</w:t>
      </w:r>
      <w:r w:rsidR="0041413D">
        <w:t>2</w:t>
      </w:r>
      <w:r>
        <w:t>:C13</w:t>
      </w:r>
      <w:r w:rsidR="0041413D">
        <w:t>4</w:t>
      </w:r>
      <w:r>
        <w:t>, etc. are the values of S</w:t>
      </w:r>
      <w:r w:rsidRPr="0051110A">
        <w:rPr>
          <w:vertAlign w:val="subscript"/>
        </w:rPr>
        <w:t>t</w:t>
      </w:r>
      <w:r>
        <w:t xml:space="preserve"> for 1996, 1997, etc.  Rows 1-4 show the July average, max, min, and standard deviation each year.  Rows 5 through 7 show the values of C, T, and mu each year.  Rows 8 and 9 show the date a change is detected each year.  Finally, cells V8 and V9 show the average day that change is detected.</w:t>
      </w:r>
    </w:p>
    <w:p w14:paraId="6DA13270" w14:textId="77777777" w:rsidR="004B506A" w:rsidRDefault="004B506A" w:rsidP="00E6255D">
      <w:pPr>
        <w:pStyle w:val="ListParagraph"/>
        <w:autoSpaceDE w:val="0"/>
        <w:autoSpaceDN w:val="0"/>
        <w:adjustRightInd w:val="0"/>
        <w:ind w:left="360" w:hanging="360"/>
      </w:pPr>
    </w:p>
    <w:p w14:paraId="0F669DD6" w14:textId="678EE8B5" w:rsidR="00F0149D" w:rsidRDefault="00F0149D" w:rsidP="00F0149D">
      <w:pPr>
        <w:pStyle w:val="ListParagraph"/>
        <w:autoSpaceDE w:val="0"/>
        <w:autoSpaceDN w:val="0"/>
        <w:adjustRightInd w:val="0"/>
        <w:ind w:left="0"/>
      </w:pPr>
      <w:r>
        <w:t xml:space="preserve">As in the first approach, the key is finding the right values of C and T.  Looking at the year-to-year data, there are certainly some days where the temperature is temporarily 10-15 degrees colder than average, but then goes back up – we don’t want to mistakenly identify that randomness as a change. </w:t>
      </w:r>
    </w:p>
    <w:p w14:paraId="6EC1CC1E" w14:textId="77777777" w:rsidR="00F0149D" w:rsidRDefault="00F0149D" w:rsidP="00E6255D">
      <w:pPr>
        <w:pStyle w:val="ListParagraph"/>
        <w:autoSpaceDE w:val="0"/>
        <w:autoSpaceDN w:val="0"/>
        <w:adjustRightInd w:val="0"/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1"/>
        <w:gridCol w:w="1051"/>
        <w:gridCol w:w="1066"/>
        <w:gridCol w:w="1350"/>
      </w:tblGrid>
      <w:tr w:rsidR="00F0149D" w:rsidRPr="00021A46" w14:paraId="00FE3C71" w14:textId="77777777" w:rsidTr="00D56F08">
        <w:tc>
          <w:tcPr>
            <w:tcW w:w="1051" w:type="dxa"/>
          </w:tcPr>
          <w:p w14:paraId="1F38496A" w14:textId="77777777" w:rsidR="00F0149D" w:rsidRPr="00021A46" w:rsidRDefault="00F0149D" w:rsidP="00D56F0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021A46">
              <w:rPr>
                <w:b/>
              </w:rPr>
              <w:t>C</w:t>
            </w:r>
          </w:p>
        </w:tc>
        <w:tc>
          <w:tcPr>
            <w:tcW w:w="1051" w:type="dxa"/>
          </w:tcPr>
          <w:p w14:paraId="4D6518BC" w14:textId="77777777" w:rsidR="00F0149D" w:rsidRPr="00021A46" w:rsidRDefault="00F0149D" w:rsidP="00D56F0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021A46">
              <w:rPr>
                <w:b/>
              </w:rPr>
              <w:t>T</w:t>
            </w:r>
          </w:p>
        </w:tc>
        <w:tc>
          <w:tcPr>
            <w:tcW w:w="1066" w:type="dxa"/>
          </w:tcPr>
          <w:p w14:paraId="3A72CB19" w14:textId="09FA538C" w:rsidR="00F0149D" w:rsidRPr="00021A46" w:rsidRDefault="00F0149D" w:rsidP="00F0149D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proofErr w:type="spellStart"/>
            <w:r>
              <w:rPr>
                <w:b/>
              </w:rPr>
              <w:t>Avg</w:t>
            </w:r>
            <w:proofErr w:type="spellEnd"/>
            <w:r>
              <w:rPr>
                <w:b/>
              </w:rPr>
              <w:t xml:space="preserve"> date c</w:t>
            </w:r>
            <w:r w:rsidRPr="00021A46">
              <w:rPr>
                <w:b/>
              </w:rPr>
              <w:t>hange detected</w:t>
            </w:r>
          </w:p>
        </w:tc>
        <w:tc>
          <w:tcPr>
            <w:tcW w:w="1350" w:type="dxa"/>
          </w:tcPr>
          <w:p w14:paraId="60E66003" w14:textId="581923AD" w:rsidR="00F0149D" w:rsidRPr="00021A46" w:rsidRDefault="00F0149D" w:rsidP="00F0149D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proofErr w:type="spellStart"/>
            <w:r>
              <w:rPr>
                <w:b/>
              </w:rPr>
              <w:t>Avg</w:t>
            </w:r>
            <w:proofErr w:type="spellEnd"/>
            <w:r>
              <w:rPr>
                <w:b/>
              </w:rPr>
              <w:t xml:space="preserve"> t</w:t>
            </w:r>
            <w:r w:rsidRPr="00021A46">
              <w:rPr>
                <w:b/>
              </w:rPr>
              <w:t>emp on change date</w:t>
            </w:r>
          </w:p>
        </w:tc>
      </w:tr>
      <w:tr w:rsidR="00F0149D" w14:paraId="1356ED3B" w14:textId="77777777" w:rsidTr="00D56F08">
        <w:tc>
          <w:tcPr>
            <w:tcW w:w="1051" w:type="dxa"/>
          </w:tcPr>
          <w:p w14:paraId="34617D5D" w14:textId="43EF2FEA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1051" w:type="dxa"/>
          </w:tcPr>
          <w:p w14:paraId="1B13291D" w14:textId="5A27E018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35</w:t>
            </w:r>
          </w:p>
        </w:tc>
        <w:tc>
          <w:tcPr>
            <w:tcW w:w="1066" w:type="dxa"/>
          </w:tcPr>
          <w:p w14:paraId="491CF1B9" w14:textId="12C3E7DE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Aug 18</w:t>
            </w:r>
          </w:p>
        </w:tc>
        <w:tc>
          <w:tcPr>
            <w:tcW w:w="1350" w:type="dxa"/>
          </w:tcPr>
          <w:p w14:paraId="76722088" w14:textId="08F371E4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90.15</w:t>
            </w:r>
          </w:p>
        </w:tc>
      </w:tr>
      <w:tr w:rsidR="00F0149D" w14:paraId="7818C33E" w14:textId="77777777" w:rsidTr="00D56F08">
        <w:tc>
          <w:tcPr>
            <w:tcW w:w="1051" w:type="dxa"/>
          </w:tcPr>
          <w:p w14:paraId="08D7B299" w14:textId="77777777" w:rsidR="00F0149D" w:rsidRDefault="00F0149D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5</w:t>
            </w:r>
          </w:p>
        </w:tc>
        <w:tc>
          <w:tcPr>
            <w:tcW w:w="1051" w:type="dxa"/>
          </w:tcPr>
          <w:p w14:paraId="55EB59F8" w14:textId="066F0101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35</w:t>
            </w:r>
          </w:p>
        </w:tc>
        <w:tc>
          <w:tcPr>
            <w:tcW w:w="1066" w:type="dxa"/>
          </w:tcPr>
          <w:p w14:paraId="40E75663" w14:textId="4B3CB70A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Sep 19</w:t>
            </w:r>
          </w:p>
        </w:tc>
        <w:tc>
          <w:tcPr>
            <w:tcW w:w="1350" w:type="dxa"/>
          </w:tcPr>
          <w:p w14:paraId="05E9DEE6" w14:textId="7346CDCD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82.4</w:t>
            </w:r>
          </w:p>
        </w:tc>
      </w:tr>
      <w:tr w:rsidR="00F0149D" w14:paraId="57C742A0" w14:textId="77777777" w:rsidTr="00D56F08">
        <w:tc>
          <w:tcPr>
            <w:tcW w:w="1051" w:type="dxa"/>
          </w:tcPr>
          <w:p w14:paraId="6907095F" w14:textId="1900B01D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10</w:t>
            </w:r>
          </w:p>
        </w:tc>
        <w:tc>
          <w:tcPr>
            <w:tcW w:w="1051" w:type="dxa"/>
          </w:tcPr>
          <w:p w14:paraId="4DFF7846" w14:textId="0297F3A5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35</w:t>
            </w:r>
          </w:p>
        </w:tc>
        <w:tc>
          <w:tcPr>
            <w:tcW w:w="1066" w:type="dxa"/>
          </w:tcPr>
          <w:p w14:paraId="5CB5EB72" w14:textId="7E64F9F2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Oct 7</w:t>
            </w:r>
          </w:p>
        </w:tc>
        <w:tc>
          <w:tcPr>
            <w:tcW w:w="1350" w:type="dxa"/>
          </w:tcPr>
          <w:p w14:paraId="4A166255" w14:textId="53637896" w:rsidR="007B634A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75.6</w:t>
            </w:r>
          </w:p>
        </w:tc>
      </w:tr>
      <w:tr w:rsidR="00F0149D" w14:paraId="5513A5FD" w14:textId="77777777" w:rsidTr="00D56F08">
        <w:tc>
          <w:tcPr>
            <w:tcW w:w="1051" w:type="dxa"/>
          </w:tcPr>
          <w:p w14:paraId="1253D59C" w14:textId="5D4FA46B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1051" w:type="dxa"/>
          </w:tcPr>
          <w:p w14:paraId="35368136" w14:textId="77777777" w:rsidR="00F0149D" w:rsidRDefault="00F0149D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25</w:t>
            </w:r>
          </w:p>
        </w:tc>
        <w:tc>
          <w:tcPr>
            <w:tcW w:w="1066" w:type="dxa"/>
          </w:tcPr>
          <w:p w14:paraId="0707CFA9" w14:textId="2D348029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Jul 22</w:t>
            </w:r>
          </w:p>
        </w:tc>
        <w:tc>
          <w:tcPr>
            <w:tcW w:w="1350" w:type="dxa"/>
          </w:tcPr>
          <w:p w14:paraId="51B62E1B" w14:textId="522566D5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89.45</w:t>
            </w:r>
          </w:p>
        </w:tc>
      </w:tr>
      <w:tr w:rsidR="00F0149D" w14:paraId="6D0E5088" w14:textId="77777777" w:rsidTr="00D56F08">
        <w:tc>
          <w:tcPr>
            <w:tcW w:w="1051" w:type="dxa"/>
          </w:tcPr>
          <w:p w14:paraId="6DD3AF21" w14:textId="51B3774C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5</w:t>
            </w:r>
          </w:p>
        </w:tc>
        <w:tc>
          <w:tcPr>
            <w:tcW w:w="1051" w:type="dxa"/>
          </w:tcPr>
          <w:p w14:paraId="6CF2651E" w14:textId="5C38F978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</w:t>
            </w:r>
            <w:r w:rsidR="00F0149D">
              <w:t>5</w:t>
            </w:r>
          </w:p>
        </w:tc>
        <w:tc>
          <w:tcPr>
            <w:tcW w:w="1066" w:type="dxa"/>
          </w:tcPr>
          <w:p w14:paraId="2A1E31E7" w14:textId="1544A9C3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Sep 17</w:t>
            </w:r>
          </w:p>
        </w:tc>
        <w:tc>
          <w:tcPr>
            <w:tcW w:w="1350" w:type="dxa"/>
          </w:tcPr>
          <w:p w14:paraId="636D2416" w14:textId="06315272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79.75</w:t>
            </w:r>
          </w:p>
        </w:tc>
      </w:tr>
      <w:tr w:rsidR="00F0149D" w14:paraId="5E1B6C0D" w14:textId="77777777" w:rsidTr="00D56F08">
        <w:tc>
          <w:tcPr>
            <w:tcW w:w="1051" w:type="dxa"/>
          </w:tcPr>
          <w:p w14:paraId="59346ADD" w14:textId="6CF46F61" w:rsidR="00F0149D" w:rsidRDefault="00F0149D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  <w:r w:rsidR="007B634A">
              <w:t>0</w:t>
            </w:r>
          </w:p>
        </w:tc>
        <w:tc>
          <w:tcPr>
            <w:tcW w:w="1051" w:type="dxa"/>
          </w:tcPr>
          <w:p w14:paraId="4AF48B0F" w14:textId="10C76543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</w:t>
            </w:r>
            <w:r w:rsidR="00F0149D">
              <w:t>5</w:t>
            </w:r>
          </w:p>
        </w:tc>
        <w:tc>
          <w:tcPr>
            <w:tcW w:w="1066" w:type="dxa"/>
          </w:tcPr>
          <w:p w14:paraId="22879212" w14:textId="2A15E98F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Oct 4</w:t>
            </w:r>
          </w:p>
        </w:tc>
        <w:tc>
          <w:tcPr>
            <w:tcW w:w="1350" w:type="dxa"/>
          </w:tcPr>
          <w:p w14:paraId="45FB8B4A" w14:textId="25ADEF56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77.85</w:t>
            </w:r>
          </w:p>
        </w:tc>
      </w:tr>
      <w:tr w:rsidR="00F0149D" w14:paraId="2FF970DC" w14:textId="77777777" w:rsidTr="00D56F08">
        <w:tc>
          <w:tcPr>
            <w:tcW w:w="1051" w:type="dxa"/>
          </w:tcPr>
          <w:p w14:paraId="5D0D0437" w14:textId="382B11B4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1051" w:type="dxa"/>
          </w:tcPr>
          <w:p w14:paraId="5767957C" w14:textId="0FF20FFD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15</w:t>
            </w:r>
          </w:p>
        </w:tc>
        <w:tc>
          <w:tcPr>
            <w:tcW w:w="1066" w:type="dxa"/>
          </w:tcPr>
          <w:p w14:paraId="3BDE9847" w14:textId="7FE6CD38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Jul 17</w:t>
            </w:r>
          </w:p>
        </w:tc>
        <w:tc>
          <w:tcPr>
            <w:tcW w:w="1350" w:type="dxa"/>
          </w:tcPr>
          <w:p w14:paraId="6584BAA6" w14:textId="545BE75C" w:rsidR="00F0149D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89.2</w:t>
            </w:r>
          </w:p>
        </w:tc>
      </w:tr>
      <w:tr w:rsidR="007B634A" w14:paraId="16048713" w14:textId="77777777" w:rsidTr="00D56F08">
        <w:tc>
          <w:tcPr>
            <w:tcW w:w="1051" w:type="dxa"/>
          </w:tcPr>
          <w:p w14:paraId="45F8F246" w14:textId="53613DEB" w:rsidR="007B634A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5</w:t>
            </w:r>
          </w:p>
        </w:tc>
        <w:tc>
          <w:tcPr>
            <w:tcW w:w="1051" w:type="dxa"/>
          </w:tcPr>
          <w:p w14:paraId="7A733461" w14:textId="25E80E9F" w:rsidR="007B634A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15</w:t>
            </w:r>
          </w:p>
        </w:tc>
        <w:tc>
          <w:tcPr>
            <w:tcW w:w="1066" w:type="dxa"/>
          </w:tcPr>
          <w:p w14:paraId="30AD5BFC" w14:textId="64C7A496" w:rsidR="007B634A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Sep 2</w:t>
            </w:r>
          </w:p>
        </w:tc>
        <w:tc>
          <w:tcPr>
            <w:tcW w:w="1350" w:type="dxa"/>
          </w:tcPr>
          <w:p w14:paraId="05AE97DC" w14:textId="5A020B79" w:rsidR="007B634A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85.25</w:t>
            </w:r>
          </w:p>
        </w:tc>
      </w:tr>
      <w:tr w:rsidR="007B634A" w14:paraId="29BF94A2" w14:textId="77777777" w:rsidTr="00D56F08">
        <w:tc>
          <w:tcPr>
            <w:tcW w:w="1051" w:type="dxa"/>
          </w:tcPr>
          <w:p w14:paraId="5D2BA397" w14:textId="6C440F71" w:rsidR="007B634A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10</w:t>
            </w:r>
          </w:p>
        </w:tc>
        <w:tc>
          <w:tcPr>
            <w:tcW w:w="1051" w:type="dxa"/>
          </w:tcPr>
          <w:p w14:paraId="6E2FC998" w14:textId="5285A627" w:rsidR="007B634A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15</w:t>
            </w:r>
          </w:p>
        </w:tc>
        <w:tc>
          <w:tcPr>
            <w:tcW w:w="1066" w:type="dxa"/>
          </w:tcPr>
          <w:p w14:paraId="3A55C215" w14:textId="1B7EF9E6" w:rsidR="007B634A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Sep 26</w:t>
            </w:r>
          </w:p>
        </w:tc>
        <w:tc>
          <w:tcPr>
            <w:tcW w:w="1350" w:type="dxa"/>
          </w:tcPr>
          <w:p w14:paraId="07036ED5" w14:textId="7145B755" w:rsidR="007B634A" w:rsidRDefault="007B634A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78.55</w:t>
            </w:r>
          </w:p>
        </w:tc>
      </w:tr>
    </w:tbl>
    <w:p w14:paraId="3C262A79" w14:textId="540C2215" w:rsidR="00F0149D" w:rsidRDefault="00E320C2" w:rsidP="00E6255D">
      <w:pPr>
        <w:pStyle w:val="ListParagraph"/>
        <w:autoSpaceDE w:val="0"/>
        <w:autoSpaceDN w:val="0"/>
        <w:adjustRightInd w:val="0"/>
        <w:ind w:left="360" w:hanging="360"/>
      </w:pPr>
      <w:r>
        <w:tab/>
        <w:t xml:space="preserve">Table </w:t>
      </w:r>
      <w:r w:rsidR="00426408">
        <w:t>2</w:t>
      </w:r>
      <w:r>
        <w:t>. End-of-summer estimates using approach 2.</w:t>
      </w:r>
    </w:p>
    <w:p w14:paraId="3636E5A8" w14:textId="77777777" w:rsidR="00E320C2" w:rsidRDefault="00E320C2" w:rsidP="00E6255D">
      <w:pPr>
        <w:pStyle w:val="ListParagraph"/>
        <w:autoSpaceDE w:val="0"/>
        <w:autoSpaceDN w:val="0"/>
        <w:adjustRightInd w:val="0"/>
        <w:ind w:left="360" w:hanging="360"/>
      </w:pPr>
    </w:p>
    <w:p w14:paraId="1A971C5C" w14:textId="23D5DAD3" w:rsidR="007B634A" w:rsidRDefault="007B634A" w:rsidP="007B634A">
      <w:pPr>
        <w:pStyle w:val="ListParagraph"/>
        <w:autoSpaceDE w:val="0"/>
        <w:autoSpaceDN w:val="0"/>
        <w:adjustRightInd w:val="0"/>
        <w:ind w:left="0"/>
      </w:pPr>
      <w:r>
        <w:t>As above, this is a judgment call, but my preference would be for C=5 and T=25 or 35, giving a date around Sep 17 or Sep 19.</w:t>
      </w:r>
      <w:r w:rsidR="0041413D">
        <w:t xml:space="preserve">  Figure </w:t>
      </w:r>
      <w:r w:rsidR="00426408">
        <w:t>3</w:t>
      </w:r>
      <w:r w:rsidR="0041413D">
        <w:t xml:space="preserve"> below shows the year-by-year data.</w:t>
      </w:r>
    </w:p>
    <w:p w14:paraId="5971C86B" w14:textId="77777777" w:rsidR="0041413D" w:rsidRDefault="0041413D" w:rsidP="007B634A">
      <w:pPr>
        <w:pStyle w:val="ListParagraph"/>
        <w:autoSpaceDE w:val="0"/>
        <w:autoSpaceDN w:val="0"/>
        <w:adjustRightInd w:val="0"/>
        <w:ind w:left="0"/>
      </w:pPr>
    </w:p>
    <w:p w14:paraId="7D22A3F5" w14:textId="4DE30838" w:rsidR="0041413D" w:rsidRDefault="0041413D" w:rsidP="007B634A">
      <w:pPr>
        <w:pStyle w:val="ListParagraph"/>
        <w:autoSpaceDE w:val="0"/>
        <w:autoSpaceDN w:val="0"/>
        <w:adjustRightInd w:val="0"/>
        <w:ind w:left="0"/>
      </w:pPr>
      <w:r>
        <w:rPr>
          <w:noProof/>
        </w:rPr>
        <w:drawing>
          <wp:inline distT="0" distB="0" distL="0" distR="0" wp14:anchorId="19BF231D" wp14:editId="7C7CBDD1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E44542" w14:textId="3B47A31A" w:rsidR="0041413D" w:rsidRDefault="00426408" w:rsidP="007B634A">
      <w:pPr>
        <w:pStyle w:val="ListParagraph"/>
        <w:autoSpaceDE w:val="0"/>
        <w:autoSpaceDN w:val="0"/>
        <w:adjustRightInd w:val="0"/>
        <w:ind w:left="0"/>
      </w:pPr>
      <w:r>
        <w:tab/>
        <w:t>Figure 3</w:t>
      </w:r>
      <w:r w:rsidR="0041413D">
        <w:t>. Year-by-year end-of-summer estimates.</w:t>
      </w:r>
    </w:p>
    <w:p w14:paraId="5241DA34" w14:textId="77777777" w:rsidR="0041413D" w:rsidRDefault="0041413D" w:rsidP="007B634A">
      <w:pPr>
        <w:pStyle w:val="ListParagraph"/>
        <w:autoSpaceDE w:val="0"/>
        <w:autoSpaceDN w:val="0"/>
        <w:adjustRightInd w:val="0"/>
        <w:ind w:left="0"/>
      </w:pPr>
    </w:p>
    <w:p w14:paraId="3227BF3A" w14:textId="77777777" w:rsidR="007B634A" w:rsidRPr="00DA2C6C" w:rsidRDefault="007B634A" w:rsidP="00E6255D">
      <w:pPr>
        <w:pStyle w:val="ListParagraph"/>
        <w:autoSpaceDE w:val="0"/>
        <w:autoSpaceDN w:val="0"/>
        <w:adjustRightInd w:val="0"/>
        <w:ind w:left="360" w:hanging="360"/>
      </w:pPr>
    </w:p>
    <w:p w14:paraId="50C8936E" w14:textId="77777777" w:rsidR="00E6255D" w:rsidRPr="005C4F0B" w:rsidRDefault="00E6255D" w:rsidP="001507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/>
        </w:rPr>
      </w:pPr>
      <w:r w:rsidRPr="005C4F0B">
        <w:rPr>
          <w:rFonts w:cs="LMRoman10-Regular"/>
          <w:i/>
        </w:rPr>
        <w:t>Use a CUSUM approach to make a judgment of whether Atlanta’s summer climate has gotten warmer in that time (and if so, when).</w:t>
      </w:r>
    </w:p>
    <w:p w14:paraId="39CCB84E" w14:textId="77777777" w:rsidR="00E6255D" w:rsidRDefault="00E6255D" w:rsidP="00E6255D">
      <w:pPr>
        <w:autoSpaceDE w:val="0"/>
        <w:autoSpaceDN w:val="0"/>
        <w:adjustRightInd w:val="0"/>
      </w:pPr>
    </w:p>
    <w:p w14:paraId="3367AAE4" w14:textId="67141E78" w:rsidR="00F957E3" w:rsidRDefault="00F957E3" w:rsidP="00F957E3">
      <w:pPr>
        <w:pStyle w:val="ListParagraph"/>
        <w:autoSpaceDE w:val="0"/>
        <w:autoSpaceDN w:val="0"/>
        <w:adjustRightInd w:val="0"/>
        <w:ind w:left="0"/>
      </w:pPr>
      <w:r>
        <w:t xml:space="preserve">Again, here are two approaches.  </w:t>
      </w:r>
      <w:r w:rsidRPr="00B5603B">
        <w:rPr>
          <w:rFonts w:asciiTheme="majorHAnsi" w:hAnsiTheme="majorHAnsi" w:cs="Calibri"/>
          <w:bCs/>
          <w:u w:val="single"/>
        </w:rPr>
        <w:t xml:space="preserve">Please note that </w:t>
      </w:r>
      <w:r>
        <w:rPr>
          <w:rFonts w:asciiTheme="majorHAnsi" w:hAnsiTheme="majorHAnsi" w:cs="Calibri"/>
          <w:bCs/>
          <w:u w:val="single"/>
        </w:rPr>
        <w:t xml:space="preserve">there are other good approaches too, and </w:t>
      </w:r>
      <w:r w:rsidRPr="00B5603B">
        <w:rPr>
          <w:rFonts w:asciiTheme="majorHAnsi" w:hAnsiTheme="majorHAnsi" w:cs="Calibri"/>
          <w:bCs/>
          <w:u w:val="single"/>
        </w:rPr>
        <w:t xml:space="preserve">a good solution doesn’t have to try </w:t>
      </w:r>
      <w:r>
        <w:rPr>
          <w:rFonts w:asciiTheme="majorHAnsi" w:hAnsiTheme="majorHAnsi" w:cs="Calibri"/>
          <w:bCs/>
          <w:u w:val="single"/>
        </w:rPr>
        <w:t>all</w:t>
      </w:r>
      <w:r w:rsidRPr="00B5603B">
        <w:rPr>
          <w:rFonts w:asciiTheme="majorHAnsi" w:hAnsiTheme="majorHAnsi" w:cs="Calibri"/>
          <w:bCs/>
          <w:u w:val="single"/>
        </w:rPr>
        <w:t xml:space="preserve"> of the possibilities in </w:t>
      </w:r>
      <w:r>
        <w:rPr>
          <w:rFonts w:asciiTheme="majorHAnsi" w:hAnsiTheme="majorHAnsi" w:cs="Calibri"/>
          <w:bCs/>
          <w:u w:val="single"/>
        </w:rPr>
        <w:t>here</w:t>
      </w:r>
      <w:r w:rsidRPr="00B5603B">
        <w:rPr>
          <w:rFonts w:asciiTheme="majorHAnsi" w:hAnsiTheme="majorHAnsi" w:cs="Calibri"/>
          <w:bCs/>
          <w:u w:val="single"/>
        </w:rPr>
        <w:t>; they’re shown to help you learn, but they’re not necessary</w:t>
      </w:r>
      <w:r>
        <w:rPr>
          <w:rFonts w:asciiTheme="majorHAnsi" w:hAnsiTheme="majorHAnsi" w:cs="Calibri"/>
          <w:bCs/>
          <w:u w:val="single"/>
        </w:rPr>
        <w:t>.  It also might be that  some people interpreted the question differently, and have a good solution to the question as they understood it – that’s perfectly fine too.  All I really care about is that you’re learning how to use the CUSUM model.</w:t>
      </w:r>
    </w:p>
    <w:p w14:paraId="2B13BA88" w14:textId="77777777" w:rsidR="00F957E3" w:rsidRDefault="00F957E3" w:rsidP="00B34539">
      <w:pPr>
        <w:pStyle w:val="Heading1"/>
        <w:numPr>
          <w:ilvl w:val="0"/>
          <w:numId w:val="0"/>
        </w:numPr>
        <w:ind w:left="360" w:hanging="360"/>
        <w:rPr>
          <w:b w:val="0"/>
        </w:rPr>
      </w:pPr>
    </w:p>
    <w:p w14:paraId="2ABDA7D8" w14:textId="625BE6E0" w:rsidR="00B34539" w:rsidRDefault="00F957E3" w:rsidP="00105EFB">
      <w:pPr>
        <w:pStyle w:val="Heading1"/>
        <w:numPr>
          <w:ilvl w:val="0"/>
          <w:numId w:val="0"/>
        </w:numPr>
        <w:rPr>
          <w:b w:val="0"/>
        </w:rPr>
      </w:pPr>
      <w:r>
        <w:rPr>
          <w:b w:val="0"/>
        </w:rPr>
        <w:t>One approach is to take the yearly end-of-summer date estimate from Part 1 Approach 2, and see if there’s a change over time.</w:t>
      </w:r>
      <w:r w:rsidR="00F95C5F">
        <w:rPr>
          <w:b w:val="0"/>
        </w:rPr>
        <w:t xml:space="preserve">  </w:t>
      </w:r>
      <w:r w:rsidR="00105EFB">
        <w:rPr>
          <w:b w:val="0"/>
        </w:rPr>
        <w:t xml:space="preserve">In other words, “is summer lasting longer than it did before?“  </w:t>
      </w:r>
      <w:r w:rsidR="00F95C5F">
        <w:rPr>
          <w:b w:val="0"/>
        </w:rPr>
        <w:t xml:space="preserve">This is shown in </w:t>
      </w:r>
      <w:r w:rsidR="00150721" w:rsidRPr="00150721">
        <w:rPr>
          <w:rFonts w:ascii="Courier New" w:hAnsi="Courier New" w:cs="Courier New"/>
          <w:b w:val="0"/>
        </w:rPr>
        <w:t>solution 6.2</w:t>
      </w:r>
      <w:r w:rsidR="00F95C5F" w:rsidRPr="00150721">
        <w:rPr>
          <w:rFonts w:ascii="Courier New" w:hAnsi="Courier New" w:cs="Courier New"/>
          <w:b w:val="0"/>
        </w:rPr>
        <w:t>.xlsx</w:t>
      </w:r>
      <w:r w:rsidR="00F95C5F">
        <w:rPr>
          <w:b w:val="0"/>
        </w:rPr>
        <w:t xml:space="preserve"> (sheet “Part 2 Approach 1”).   The values of C and T we choose make the difference between a “yes” or “no” answer.</w:t>
      </w:r>
    </w:p>
    <w:p w14:paraId="2CBCD34F" w14:textId="77777777" w:rsidR="00F95C5F" w:rsidRDefault="00F95C5F" w:rsidP="00F95C5F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1"/>
        <w:gridCol w:w="1051"/>
        <w:gridCol w:w="1066"/>
        <w:gridCol w:w="1066"/>
      </w:tblGrid>
      <w:tr w:rsidR="00F95C5F" w:rsidRPr="00021A46" w14:paraId="2F22DDBA" w14:textId="19CB71B8" w:rsidTr="009A72A6">
        <w:tc>
          <w:tcPr>
            <w:tcW w:w="1051" w:type="dxa"/>
          </w:tcPr>
          <w:p w14:paraId="5FD26C37" w14:textId="77777777" w:rsidR="00F95C5F" w:rsidRPr="00021A46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021A46">
              <w:rPr>
                <w:b/>
              </w:rPr>
              <w:t>C</w:t>
            </w:r>
          </w:p>
        </w:tc>
        <w:tc>
          <w:tcPr>
            <w:tcW w:w="1051" w:type="dxa"/>
          </w:tcPr>
          <w:p w14:paraId="268E5F49" w14:textId="77777777" w:rsidR="00F95C5F" w:rsidRPr="00021A46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021A46">
              <w:rPr>
                <w:b/>
              </w:rPr>
              <w:t>T</w:t>
            </w:r>
          </w:p>
        </w:tc>
        <w:tc>
          <w:tcPr>
            <w:tcW w:w="1066" w:type="dxa"/>
          </w:tcPr>
          <w:p w14:paraId="3EEA3D2D" w14:textId="62BF2B64" w:rsidR="00F95C5F" w:rsidRPr="00021A46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>
              <w:rPr>
                <w:b/>
              </w:rPr>
              <w:t>Year c</w:t>
            </w:r>
            <w:r w:rsidRPr="00021A46">
              <w:rPr>
                <w:b/>
              </w:rPr>
              <w:t>hange detected</w:t>
            </w:r>
          </w:p>
        </w:tc>
        <w:tc>
          <w:tcPr>
            <w:tcW w:w="1066" w:type="dxa"/>
          </w:tcPr>
          <w:p w14:paraId="2CD66CCC" w14:textId="20F0818A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>
              <w:rPr>
                <w:b/>
              </w:rPr>
              <w:t>Change detected in year</w:t>
            </w:r>
          </w:p>
        </w:tc>
      </w:tr>
      <w:tr w:rsidR="00F95C5F" w14:paraId="65CE028F" w14:textId="3918967E" w:rsidTr="009A72A6">
        <w:tc>
          <w:tcPr>
            <w:tcW w:w="1051" w:type="dxa"/>
          </w:tcPr>
          <w:p w14:paraId="67A0F299" w14:textId="74FBF8CD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</w:t>
            </w:r>
          </w:p>
        </w:tc>
        <w:tc>
          <w:tcPr>
            <w:tcW w:w="1051" w:type="dxa"/>
          </w:tcPr>
          <w:p w14:paraId="2487C31B" w14:textId="204DBA5B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60</w:t>
            </w:r>
          </w:p>
        </w:tc>
        <w:tc>
          <w:tcPr>
            <w:tcW w:w="1066" w:type="dxa"/>
          </w:tcPr>
          <w:p w14:paraId="0754AF64" w14:textId="4F94A31E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Never</w:t>
            </w:r>
          </w:p>
        </w:tc>
        <w:tc>
          <w:tcPr>
            <w:tcW w:w="1066" w:type="dxa"/>
          </w:tcPr>
          <w:p w14:paraId="7F522514" w14:textId="0AF8FC58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n/a</w:t>
            </w:r>
          </w:p>
        </w:tc>
      </w:tr>
      <w:tr w:rsidR="00F95C5F" w14:paraId="1D4451A3" w14:textId="0D657125" w:rsidTr="009A72A6">
        <w:tc>
          <w:tcPr>
            <w:tcW w:w="1051" w:type="dxa"/>
          </w:tcPr>
          <w:p w14:paraId="2B4526F4" w14:textId="483249C9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</w:t>
            </w:r>
          </w:p>
        </w:tc>
        <w:tc>
          <w:tcPr>
            <w:tcW w:w="1051" w:type="dxa"/>
          </w:tcPr>
          <w:p w14:paraId="16F433E9" w14:textId="71AF5B4A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45</w:t>
            </w:r>
          </w:p>
        </w:tc>
        <w:tc>
          <w:tcPr>
            <w:tcW w:w="1066" w:type="dxa"/>
          </w:tcPr>
          <w:p w14:paraId="3178403F" w14:textId="1442950F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2007</w:t>
            </w:r>
          </w:p>
        </w:tc>
        <w:tc>
          <w:tcPr>
            <w:tcW w:w="1066" w:type="dxa"/>
          </w:tcPr>
          <w:p w14:paraId="07B25C1B" w14:textId="0CF56CE6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Oct 13</w:t>
            </w:r>
          </w:p>
        </w:tc>
      </w:tr>
      <w:tr w:rsidR="00F95C5F" w14:paraId="2D8B277C" w14:textId="60842C1B" w:rsidTr="009A72A6">
        <w:tc>
          <w:tcPr>
            <w:tcW w:w="1051" w:type="dxa"/>
          </w:tcPr>
          <w:p w14:paraId="60FC96AE" w14:textId="109FBCE9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</w:t>
            </w:r>
          </w:p>
        </w:tc>
        <w:tc>
          <w:tcPr>
            <w:tcW w:w="1051" w:type="dxa"/>
          </w:tcPr>
          <w:p w14:paraId="552D8174" w14:textId="37A98FDC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30</w:t>
            </w:r>
          </w:p>
        </w:tc>
        <w:tc>
          <w:tcPr>
            <w:tcW w:w="1066" w:type="dxa"/>
          </w:tcPr>
          <w:p w14:paraId="4DCC1CBA" w14:textId="7AB6F0AF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2005</w:t>
            </w:r>
          </w:p>
        </w:tc>
        <w:tc>
          <w:tcPr>
            <w:tcW w:w="1066" w:type="dxa"/>
          </w:tcPr>
          <w:p w14:paraId="499CFFC5" w14:textId="3E5F7E7C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Oct 9</w:t>
            </w:r>
          </w:p>
        </w:tc>
      </w:tr>
      <w:tr w:rsidR="00F95C5F" w14:paraId="10F37527" w14:textId="270CFAFD" w:rsidTr="009A72A6">
        <w:tc>
          <w:tcPr>
            <w:tcW w:w="1051" w:type="dxa"/>
          </w:tcPr>
          <w:p w14:paraId="4E767AA4" w14:textId="66C04F81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</w:t>
            </w:r>
          </w:p>
        </w:tc>
        <w:tc>
          <w:tcPr>
            <w:tcW w:w="1051" w:type="dxa"/>
          </w:tcPr>
          <w:p w14:paraId="324BC111" w14:textId="00E7DF8B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15</w:t>
            </w:r>
          </w:p>
        </w:tc>
        <w:tc>
          <w:tcPr>
            <w:tcW w:w="1066" w:type="dxa"/>
          </w:tcPr>
          <w:p w14:paraId="1F3A7AB3" w14:textId="573C6E32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1999</w:t>
            </w:r>
          </w:p>
        </w:tc>
        <w:tc>
          <w:tcPr>
            <w:tcW w:w="1066" w:type="dxa"/>
          </w:tcPr>
          <w:p w14:paraId="38058E42" w14:textId="70842719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Sep 22</w:t>
            </w:r>
          </w:p>
        </w:tc>
      </w:tr>
      <w:tr w:rsidR="00F95C5F" w14:paraId="125F2E46" w14:textId="482F455B" w:rsidTr="009A72A6">
        <w:tc>
          <w:tcPr>
            <w:tcW w:w="1051" w:type="dxa"/>
          </w:tcPr>
          <w:p w14:paraId="66E2242B" w14:textId="68EE918F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7</w:t>
            </w:r>
          </w:p>
        </w:tc>
        <w:tc>
          <w:tcPr>
            <w:tcW w:w="1051" w:type="dxa"/>
          </w:tcPr>
          <w:p w14:paraId="0C927F02" w14:textId="40C1C207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60</w:t>
            </w:r>
          </w:p>
        </w:tc>
        <w:tc>
          <w:tcPr>
            <w:tcW w:w="1066" w:type="dxa"/>
          </w:tcPr>
          <w:p w14:paraId="6B1F2D17" w14:textId="18DCD1EF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Never</w:t>
            </w:r>
          </w:p>
        </w:tc>
        <w:tc>
          <w:tcPr>
            <w:tcW w:w="1066" w:type="dxa"/>
          </w:tcPr>
          <w:p w14:paraId="5884838E" w14:textId="1AF56463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n/a</w:t>
            </w:r>
          </w:p>
        </w:tc>
      </w:tr>
      <w:tr w:rsidR="00F95C5F" w14:paraId="61704685" w14:textId="6EB7D412" w:rsidTr="009A72A6">
        <w:tc>
          <w:tcPr>
            <w:tcW w:w="1051" w:type="dxa"/>
          </w:tcPr>
          <w:p w14:paraId="687EE661" w14:textId="4C1F6E99" w:rsidR="00F95C5F" w:rsidRDefault="00F95C5F" w:rsidP="00F95C5F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7</w:t>
            </w:r>
          </w:p>
        </w:tc>
        <w:tc>
          <w:tcPr>
            <w:tcW w:w="1051" w:type="dxa"/>
          </w:tcPr>
          <w:p w14:paraId="675904DB" w14:textId="21F7DDA8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45</w:t>
            </w:r>
          </w:p>
        </w:tc>
        <w:tc>
          <w:tcPr>
            <w:tcW w:w="1066" w:type="dxa"/>
          </w:tcPr>
          <w:p w14:paraId="5D1C3BCB" w14:textId="6A6E8E38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Never</w:t>
            </w:r>
          </w:p>
        </w:tc>
        <w:tc>
          <w:tcPr>
            <w:tcW w:w="1066" w:type="dxa"/>
          </w:tcPr>
          <w:p w14:paraId="1D4FAF8D" w14:textId="3A56472D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n/a</w:t>
            </w:r>
          </w:p>
        </w:tc>
      </w:tr>
      <w:tr w:rsidR="00F95C5F" w14:paraId="54271C80" w14:textId="150E7530" w:rsidTr="009A72A6">
        <w:tc>
          <w:tcPr>
            <w:tcW w:w="1051" w:type="dxa"/>
          </w:tcPr>
          <w:p w14:paraId="2B4E4571" w14:textId="533036E5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7</w:t>
            </w:r>
          </w:p>
        </w:tc>
        <w:tc>
          <w:tcPr>
            <w:tcW w:w="1051" w:type="dxa"/>
          </w:tcPr>
          <w:p w14:paraId="74CAD3D1" w14:textId="23CB7332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30</w:t>
            </w:r>
          </w:p>
        </w:tc>
        <w:tc>
          <w:tcPr>
            <w:tcW w:w="1066" w:type="dxa"/>
          </w:tcPr>
          <w:p w14:paraId="242CFBFA" w14:textId="2E52F6BA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Never</w:t>
            </w:r>
          </w:p>
        </w:tc>
        <w:tc>
          <w:tcPr>
            <w:tcW w:w="1066" w:type="dxa"/>
          </w:tcPr>
          <w:p w14:paraId="66B2786B" w14:textId="7AB985FD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n/a</w:t>
            </w:r>
          </w:p>
        </w:tc>
      </w:tr>
      <w:tr w:rsidR="00F95C5F" w14:paraId="2B6A3759" w14:textId="67C293BC" w:rsidTr="009A72A6">
        <w:tc>
          <w:tcPr>
            <w:tcW w:w="1051" w:type="dxa"/>
          </w:tcPr>
          <w:p w14:paraId="7B7D32D6" w14:textId="2F703C63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lastRenderedPageBreak/>
              <w:t>7</w:t>
            </w:r>
          </w:p>
        </w:tc>
        <w:tc>
          <w:tcPr>
            <w:tcW w:w="1051" w:type="dxa"/>
          </w:tcPr>
          <w:p w14:paraId="0D1441DE" w14:textId="0CC1791D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15</w:t>
            </w:r>
          </w:p>
        </w:tc>
        <w:tc>
          <w:tcPr>
            <w:tcW w:w="1066" w:type="dxa"/>
          </w:tcPr>
          <w:p w14:paraId="5D2F9A5E" w14:textId="3FD00521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2007</w:t>
            </w:r>
          </w:p>
        </w:tc>
        <w:tc>
          <w:tcPr>
            <w:tcW w:w="1066" w:type="dxa"/>
          </w:tcPr>
          <w:p w14:paraId="2EAA7E98" w14:textId="2A618860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Oct 13</w:t>
            </w:r>
          </w:p>
        </w:tc>
      </w:tr>
      <w:tr w:rsidR="00F95C5F" w14:paraId="642591A5" w14:textId="5DC76B41" w:rsidTr="009A72A6">
        <w:tc>
          <w:tcPr>
            <w:tcW w:w="1051" w:type="dxa"/>
          </w:tcPr>
          <w:p w14:paraId="24DA136C" w14:textId="6FCD5D70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14</w:t>
            </w:r>
          </w:p>
        </w:tc>
        <w:tc>
          <w:tcPr>
            <w:tcW w:w="1051" w:type="dxa"/>
          </w:tcPr>
          <w:p w14:paraId="5D27D1A7" w14:textId="6CDACC65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60</w:t>
            </w:r>
          </w:p>
        </w:tc>
        <w:tc>
          <w:tcPr>
            <w:tcW w:w="1066" w:type="dxa"/>
          </w:tcPr>
          <w:p w14:paraId="5BA2CF14" w14:textId="47CAAEC8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Never</w:t>
            </w:r>
          </w:p>
        </w:tc>
        <w:tc>
          <w:tcPr>
            <w:tcW w:w="1066" w:type="dxa"/>
          </w:tcPr>
          <w:p w14:paraId="466A74E1" w14:textId="42A7EF1D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n/a</w:t>
            </w:r>
          </w:p>
        </w:tc>
      </w:tr>
      <w:tr w:rsidR="00F95C5F" w14:paraId="170A10A7" w14:textId="7D12B486" w:rsidTr="009A72A6">
        <w:tc>
          <w:tcPr>
            <w:tcW w:w="1051" w:type="dxa"/>
          </w:tcPr>
          <w:p w14:paraId="0A7D731D" w14:textId="7FF07BCF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14</w:t>
            </w:r>
          </w:p>
        </w:tc>
        <w:tc>
          <w:tcPr>
            <w:tcW w:w="1051" w:type="dxa"/>
          </w:tcPr>
          <w:p w14:paraId="09B5D20A" w14:textId="20E03D19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45</w:t>
            </w:r>
          </w:p>
        </w:tc>
        <w:tc>
          <w:tcPr>
            <w:tcW w:w="1066" w:type="dxa"/>
          </w:tcPr>
          <w:p w14:paraId="1F478D72" w14:textId="45A00ECA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Never</w:t>
            </w:r>
          </w:p>
        </w:tc>
        <w:tc>
          <w:tcPr>
            <w:tcW w:w="1066" w:type="dxa"/>
          </w:tcPr>
          <w:p w14:paraId="51A4823F" w14:textId="3F8D0261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n/a</w:t>
            </w:r>
          </w:p>
        </w:tc>
      </w:tr>
      <w:tr w:rsidR="00F95C5F" w14:paraId="0D67C2F7" w14:textId="2F25979C" w:rsidTr="009A72A6">
        <w:tc>
          <w:tcPr>
            <w:tcW w:w="1051" w:type="dxa"/>
          </w:tcPr>
          <w:p w14:paraId="1E885188" w14:textId="4668D356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14</w:t>
            </w:r>
          </w:p>
        </w:tc>
        <w:tc>
          <w:tcPr>
            <w:tcW w:w="1051" w:type="dxa"/>
          </w:tcPr>
          <w:p w14:paraId="6EACA1A6" w14:textId="5594AC0A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30</w:t>
            </w:r>
          </w:p>
        </w:tc>
        <w:tc>
          <w:tcPr>
            <w:tcW w:w="1066" w:type="dxa"/>
          </w:tcPr>
          <w:p w14:paraId="6FC255F0" w14:textId="286436F2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Never</w:t>
            </w:r>
          </w:p>
        </w:tc>
        <w:tc>
          <w:tcPr>
            <w:tcW w:w="1066" w:type="dxa"/>
          </w:tcPr>
          <w:p w14:paraId="503604A7" w14:textId="1FA10AB9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n/a</w:t>
            </w:r>
          </w:p>
        </w:tc>
      </w:tr>
      <w:tr w:rsidR="00F95C5F" w14:paraId="54CD59C1" w14:textId="435D515C" w:rsidTr="009A72A6">
        <w:tc>
          <w:tcPr>
            <w:tcW w:w="1051" w:type="dxa"/>
          </w:tcPr>
          <w:p w14:paraId="1447E903" w14:textId="3E805492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14</w:t>
            </w:r>
          </w:p>
        </w:tc>
        <w:tc>
          <w:tcPr>
            <w:tcW w:w="1051" w:type="dxa"/>
          </w:tcPr>
          <w:p w14:paraId="25C2D1B6" w14:textId="4398F22B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15</w:t>
            </w:r>
          </w:p>
        </w:tc>
        <w:tc>
          <w:tcPr>
            <w:tcW w:w="1066" w:type="dxa"/>
          </w:tcPr>
          <w:p w14:paraId="3DF400BE" w14:textId="279CBA68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Never</w:t>
            </w:r>
          </w:p>
        </w:tc>
        <w:tc>
          <w:tcPr>
            <w:tcW w:w="1066" w:type="dxa"/>
          </w:tcPr>
          <w:p w14:paraId="6E071654" w14:textId="002519A0" w:rsidR="00F95C5F" w:rsidRDefault="00F95C5F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n/a</w:t>
            </w:r>
          </w:p>
        </w:tc>
      </w:tr>
    </w:tbl>
    <w:p w14:paraId="129856EE" w14:textId="57A2D5BA" w:rsidR="00F95C5F" w:rsidRPr="00E320C2" w:rsidRDefault="00426408" w:rsidP="00F95C5F">
      <w:pPr>
        <w:pStyle w:val="Heading1"/>
        <w:numPr>
          <w:ilvl w:val="0"/>
          <w:numId w:val="0"/>
        </w:numPr>
        <w:ind w:left="360" w:hanging="360"/>
        <w:rPr>
          <w:b w:val="0"/>
        </w:rPr>
      </w:pPr>
      <w:r>
        <w:rPr>
          <w:b w:val="0"/>
        </w:rPr>
        <w:tab/>
        <w:t>Table 3</w:t>
      </w:r>
      <w:r w:rsidR="00E320C2" w:rsidRPr="00E320C2">
        <w:rPr>
          <w:b w:val="0"/>
        </w:rPr>
        <w:t>. End-of-summer estimates.</w:t>
      </w:r>
    </w:p>
    <w:p w14:paraId="2642037A" w14:textId="77777777" w:rsidR="00E320C2" w:rsidRPr="00E320C2" w:rsidRDefault="00E320C2" w:rsidP="00E320C2"/>
    <w:p w14:paraId="09E1C5ED" w14:textId="0A527784" w:rsidR="00F957E3" w:rsidRPr="00F70BC5" w:rsidRDefault="00CC76E5" w:rsidP="00F957E3">
      <w:r>
        <w:t>As you can see, this is ambiguous.</w:t>
      </w:r>
      <w:r w:rsidR="00105EFB">
        <w:t xml:space="preserve">  It’s not clear if summer is ending later.</w:t>
      </w:r>
      <w:r w:rsidR="00F70BC5">
        <w:t xml:space="preserve">  In fact, as Figure 6 shows below, if anything there was a blip in 2012-2013 where our Part 1 Approach 2 model shows summer ending significantly </w:t>
      </w:r>
      <w:r w:rsidR="00F70BC5">
        <w:rPr>
          <w:i/>
        </w:rPr>
        <w:t>earlier</w:t>
      </w:r>
      <w:r w:rsidR="00F70BC5">
        <w:t>.</w:t>
      </w:r>
    </w:p>
    <w:p w14:paraId="04F57EA5" w14:textId="77777777" w:rsidR="00F70BC5" w:rsidRPr="00F70BC5" w:rsidRDefault="00F70BC5" w:rsidP="00F70BC5">
      <w:pPr>
        <w:pStyle w:val="Heading1"/>
        <w:numPr>
          <w:ilvl w:val="0"/>
          <w:numId w:val="0"/>
        </w:numPr>
        <w:ind w:left="360"/>
      </w:pPr>
    </w:p>
    <w:p w14:paraId="394F09DD" w14:textId="5D509981" w:rsidR="00CC76E5" w:rsidRDefault="00F70BC5" w:rsidP="00CC76E5">
      <w:pPr>
        <w:pStyle w:val="Heading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81DDDA0" wp14:editId="2CCC3551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F30C045" w14:textId="489F7132" w:rsidR="00F70BC5" w:rsidRDefault="00426408" w:rsidP="00F70BC5">
      <w:pPr>
        <w:pStyle w:val="Heading1"/>
        <w:numPr>
          <w:ilvl w:val="0"/>
          <w:numId w:val="0"/>
        </w:numPr>
        <w:ind w:left="360" w:hanging="360"/>
        <w:rPr>
          <w:b w:val="0"/>
        </w:rPr>
      </w:pPr>
      <w:r>
        <w:rPr>
          <w:b w:val="0"/>
        </w:rPr>
        <w:tab/>
        <w:t>Figure 4</w:t>
      </w:r>
      <w:r w:rsidR="00F70BC5">
        <w:rPr>
          <w:b w:val="0"/>
        </w:rPr>
        <w:t>. Year-by-year end-of-summer estimates (same as Figure 5).</w:t>
      </w:r>
    </w:p>
    <w:p w14:paraId="0C4D1A45" w14:textId="77777777" w:rsidR="00F70BC5" w:rsidRDefault="00F70BC5" w:rsidP="00CC76E5"/>
    <w:p w14:paraId="283A22D4" w14:textId="6F18DEFA" w:rsidR="00CC76E5" w:rsidRDefault="00CC76E5" w:rsidP="00CC76E5">
      <w:r>
        <w:t xml:space="preserve">A second approach is to </w:t>
      </w:r>
      <w:r w:rsidR="00105EFB">
        <w:t>answer “however long summer is, are those days gett</w:t>
      </w:r>
      <w:r w:rsidR="00426408">
        <w:t xml:space="preserve">ing hotter?”  As shown in </w:t>
      </w:r>
      <w:r w:rsidR="00150721" w:rsidRPr="00150721">
        <w:rPr>
          <w:rFonts w:ascii="Courier New" w:hAnsi="Courier New" w:cs="Courier New"/>
        </w:rPr>
        <w:t>solution 6.2</w:t>
      </w:r>
      <w:r w:rsidR="00105EFB" w:rsidRPr="00150721">
        <w:rPr>
          <w:rFonts w:ascii="Courier New" w:hAnsi="Courier New" w:cs="Courier New"/>
        </w:rPr>
        <w:t>.xlsx</w:t>
      </w:r>
      <w:r w:rsidR="00105EFB">
        <w:t xml:space="preserve"> (sheet “Part 2 Approach 2”, for each year we could </w:t>
      </w:r>
      <w:r>
        <w:t>take the end-of-summer estimate</w:t>
      </w:r>
      <w:r w:rsidR="00105EFB">
        <w:t xml:space="preserve"> from Part 1 Approach 2, and calculate the average daily temperature through that date.</w:t>
      </w:r>
    </w:p>
    <w:p w14:paraId="0C1CAB22" w14:textId="77777777" w:rsidR="00105EFB" w:rsidRDefault="00105EFB" w:rsidP="00105EFB">
      <w:pPr>
        <w:pStyle w:val="Heading1"/>
        <w:numPr>
          <w:ilvl w:val="0"/>
          <w:numId w:val="0"/>
        </w:numPr>
        <w:ind w:left="360" w:hanging="360"/>
      </w:pPr>
    </w:p>
    <w:p w14:paraId="2B145D51" w14:textId="1F13577F" w:rsidR="00A00A95" w:rsidRPr="00A00A95" w:rsidRDefault="00A00A95" w:rsidP="00A00A95">
      <w:r>
        <w:t xml:space="preserve">Figure </w:t>
      </w:r>
      <w:r w:rsidR="00426408">
        <w:t>4</w:t>
      </w:r>
      <w:r>
        <w:t xml:space="preserve"> shows the year-by-year average summer temperature estimates.</w:t>
      </w:r>
      <w:r w:rsidR="00E320C2">
        <w:t xml:space="preserve"> Visually, it seems difficult to identify a change point – 2010-2012 appears higher, but then the 2013-2015 drop back to the stand</w:t>
      </w:r>
      <w:r w:rsidR="00953A28">
        <w:t>ard range.  CUSUM similarly is ambiguous</w:t>
      </w:r>
      <w:r w:rsidR="00E320C2">
        <w:t xml:space="preserve"> about whether/when there was a change; see Table 6.</w:t>
      </w:r>
      <w:r w:rsidR="00953A28">
        <w:t xml:space="preserve">  For more-sensitive values of C and T, change is detected in 2011 or 2012, but other values of C and T don’t detect a change, because the temperatures drop back starting in 2013.</w:t>
      </w:r>
    </w:p>
    <w:p w14:paraId="683C0E95" w14:textId="08F6DE08" w:rsidR="00105EFB" w:rsidRDefault="00711F9C" w:rsidP="00105EFB">
      <w:r>
        <w:rPr>
          <w:noProof/>
        </w:rPr>
        <w:lastRenderedPageBreak/>
        <w:drawing>
          <wp:inline distT="0" distB="0" distL="0" distR="0" wp14:anchorId="01B0A137" wp14:editId="588AE88C">
            <wp:extent cx="457200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8AC1D6C" w14:textId="3475E9D7" w:rsidR="00711F9C" w:rsidRPr="00711F9C" w:rsidRDefault="00711F9C" w:rsidP="00711F9C">
      <w:pPr>
        <w:pStyle w:val="Heading1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 xml:space="preserve">Figure </w:t>
      </w:r>
      <w:r w:rsidR="00426408">
        <w:rPr>
          <w:b w:val="0"/>
        </w:rPr>
        <w:t>5</w:t>
      </w:r>
      <w:r>
        <w:rPr>
          <w:b w:val="0"/>
        </w:rPr>
        <w:t>.  Year-by-year average summer temperature estimates.</w:t>
      </w:r>
    </w:p>
    <w:p w14:paraId="47EB29B2" w14:textId="77777777" w:rsidR="0041413D" w:rsidRPr="0041413D" w:rsidRDefault="0041413D" w:rsidP="0041413D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1"/>
        <w:gridCol w:w="1051"/>
        <w:gridCol w:w="1066"/>
        <w:gridCol w:w="1170"/>
      </w:tblGrid>
      <w:tr w:rsidR="00E320C2" w:rsidRPr="00021A46" w14:paraId="5CB4F38C" w14:textId="77777777" w:rsidTr="00E320C2">
        <w:tc>
          <w:tcPr>
            <w:tcW w:w="1051" w:type="dxa"/>
          </w:tcPr>
          <w:p w14:paraId="3CD74FEA" w14:textId="77777777" w:rsidR="00E320C2" w:rsidRPr="00021A46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021A46">
              <w:rPr>
                <w:b/>
              </w:rPr>
              <w:t>C</w:t>
            </w:r>
          </w:p>
        </w:tc>
        <w:tc>
          <w:tcPr>
            <w:tcW w:w="1051" w:type="dxa"/>
          </w:tcPr>
          <w:p w14:paraId="2B2195FB" w14:textId="77777777" w:rsidR="00E320C2" w:rsidRPr="00021A46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 w:rsidRPr="00021A46">
              <w:rPr>
                <w:b/>
              </w:rPr>
              <w:t>T</w:t>
            </w:r>
          </w:p>
        </w:tc>
        <w:tc>
          <w:tcPr>
            <w:tcW w:w="1066" w:type="dxa"/>
          </w:tcPr>
          <w:p w14:paraId="42838D15" w14:textId="77777777" w:rsidR="00E320C2" w:rsidRPr="00021A46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r>
              <w:rPr>
                <w:b/>
              </w:rPr>
              <w:t>Year c</w:t>
            </w:r>
            <w:r w:rsidRPr="00021A46">
              <w:rPr>
                <w:b/>
              </w:rPr>
              <w:t>hange detected</w:t>
            </w:r>
          </w:p>
        </w:tc>
        <w:tc>
          <w:tcPr>
            <w:tcW w:w="1170" w:type="dxa"/>
          </w:tcPr>
          <w:p w14:paraId="4BC842BC" w14:textId="496113F9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  <w:rPr>
                <w:b/>
              </w:rPr>
            </w:pPr>
            <w:proofErr w:type="spellStart"/>
            <w:r>
              <w:rPr>
                <w:b/>
              </w:rPr>
              <w:t>Avg</w:t>
            </w:r>
            <w:proofErr w:type="spellEnd"/>
            <w:r>
              <w:rPr>
                <w:b/>
              </w:rPr>
              <w:t xml:space="preserve"> temp through day</w:t>
            </w:r>
          </w:p>
        </w:tc>
      </w:tr>
      <w:tr w:rsidR="00E320C2" w14:paraId="14B4E121" w14:textId="77777777" w:rsidTr="00E320C2">
        <w:tc>
          <w:tcPr>
            <w:tcW w:w="1051" w:type="dxa"/>
          </w:tcPr>
          <w:p w14:paraId="24F0261E" w14:textId="658F19FA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1051" w:type="dxa"/>
          </w:tcPr>
          <w:p w14:paraId="2BF301B9" w14:textId="3DE466DC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5</w:t>
            </w:r>
          </w:p>
        </w:tc>
        <w:tc>
          <w:tcPr>
            <w:tcW w:w="1066" w:type="dxa"/>
          </w:tcPr>
          <w:p w14:paraId="2495F239" w14:textId="1890BE89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2011</w:t>
            </w:r>
          </w:p>
        </w:tc>
        <w:tc>
          <w:tcPr>
            <w:tcW w:w="1170" w:type="dxa"/>
          </w:tcPr>
          <w:p w14:paraId="277A2A48" w14:textId="03EA5362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92.16</w:t>
            </w:r>
          </w:p>
        </w:tc>
      </w:tr>
      <w:tr w:rsidR="00E320C2" w14:paraId="1217292A" w14:textId="77777777" w:rsidTr="00E320C2">
        <w:tc>
          <w:tcPr>
            <w:tcW w:w="1051" w:type="dxa"/>
          </w:tcPr>
          <w:p w14:paraId="7A2D61B6" w14:textId="79D7B7D3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1051" w:type="dxa"/>
          </w:tcPr>
          <w:p w14:paraId="3A0A8232" w14:textId="7E4AD3FE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10</w:t>
            </w:r>
          </w:p>
        </w:tc>
        <w:tc>
          <w:tcPr>
            <w:tcW w:w="1066" w:type="dxa"/>
          </w:tcPr>
          <w:p w14:paraId="40319467" w14:textId="6F1876C1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Never</w:t>
            </w:r>
          </w:p>
        </w:tc>
        <w:tc>
          <w:tcPr>
            <w:tcW w:w="1170" w:type="dxa"/>
          </w:tcPr>
          <w:p w14:paraId="4916FDE5" w14:textId="4F8D8043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n/a</w:t>
            </w:r>
          </w:p>
        </w:tc>
      </w:tr>
      <w:tr w:rsidR="00E320C2" w14:paraId="75851406" w14:textId="77777777" w:rsidTr="00E320C2">
        <w:tc>
          <w:tcPr>
            <w:tcW w:w="1051" w:type="dxa"/>
          </w:tcPr>
          <w:p w14:paraId="1D92E41C" w14:textId="63B40F10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1051" w:type="dxa"/>
          </w:tcPr>
          <w:p w14:paraId="2745D453" w14:textId="17B3C1D2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15</w:t>
            </w:r>
          </w:p>
        </w:tc>
        <w:tc>
          <w:tcPr>
            <w:tcW w:w="1066" w:type="dxa"/>
          </w:tcPr>
          <w:p w14:paraId="3CEF38F0" w14:textId="0F9D855F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Never</w:t>
            </w:r>
          </w:p>
        </w:tc>
        <w:tc>
          <w:tcPr>
            <w:tcW w:w="1170" w:type="dxa"/>
          </w:tcPr>
          <w:p w14:paraId="40681F49" w14:textId="027E63E2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n/a</w:t>
            </w:r>
          </w:p>
        </w:tc>
      </w:tr>
      <w:tr w:rsidR="00E320C2" w14:paraId="7EBA760D" w14:textId="77777777" w:rsidTr="00E320C2">
        <w:tc>
          <w:tcPr>
            <w:tcW w:w="1051" w:type="dxa"/>
          </w:tcPr>
          <w:p w14:paraId="0D5E2896" w14:textId="0DB2CAEF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  <w:tc>
          <w:tcPr>
            <w:tcW w:w="1051" w:type="dxa"/>
          </w:tcPr>
          <w:p w14:paraId="7047C673" w14:textId="661F4338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5</w:t>
            </w:r>
          </w:p>
        </w:tc>
        <w:tc>
          <w:tcPr>
            <w:tcW w:w="1066" w:type="dxa"/>
          </w:tcPr>
          <w:p w14:paraId="0C952051" w14:textId="1945A108" w:rsidR="00E320C2" w:rsidRDefault="00011B0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2012</w:t>
            </w:r>
          </w:p>
        </w:tc>
        <w:tc>
          <w:tcPr>
            <w:tcW w:w="1170" w:type="dxa"/>
          </w:tcPr>
          <w:p w14:paraId="5005848A" w14:textId="1F2035C0" w:rsidR="00E320C2" w:rsidRDefault="00011B0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91.85</w:t>
            </w:r>
          </w:p>
        </w:tc>
      </w:tr>
      <w:tr w:rsidR="00E320C2" w14:paraId="4B07411E" w14:textId="77777777" w:rsidTr="00E320C2">
        <w:tc>
          <w:tcPr>
            <w:tcW w:w="1051" w:type="dxa"/>
          </w:tcPr>
          <w:p w14:paraId="524FBB58" w14:textId="3B11A775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  <w:tc>
          <w:tcPr>
            <w:tcW w:w="1051" w:type="dxa"/>
          </w:tcPr>
          <w:p w14:paraId="57D30B17" w14:textId="5862A272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10</w:t>
            </w:r>
          </w:p>
        </w:tc>
        <w:tc>
          <w:tcPr>
            <w:tcW w:w="1066" w:type="dxa"/>
          </w:tcPr>
          <w:p w14:paraId="565D4F51" w14:textId="76952024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Never</w:t>
            </w:r>
          </w:p>
        </w:tc>
        <w:tc>
          <w:tcPr>
            <w:tcW w:w="1170" w:type="dxa"/>
          </w:tcPr>
          <w:p w14:paraId="54B8A7B9" w14:textId="5A7E8267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n/a</w:t>
            </w:r>
          </w:p>
        </w:tc>
      </w:tr>
      <w:tr w:rsidR="00E320C2" w14:paraId="7529ED46" w14:textId="77777777" w:rsidTr="00E320C2">
        <w:tc>
          <w:tcPr>
            <w:tcW w:w="1051" w:type="dxa"/>
          </w:tcPr>
          <w:p w14:paraId="7059FEBA" w14:textId="23BF2192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</w:t>
            </w:r>
          </w:p>
        </w:tc>
        <w:tc>
          <w:tcPr>
            <w:tcW w:w="1051" w:type="dxa"/>
          </w:tcPr>
          <w:p w14:paraId="478E15D0" w14:textId="5AFEC6DB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15</w:t>
            </w:r>
          </w:p>
        </w:tc>
        <w:tc>
          <w:tcPr>
            <w:tcW w:w="1066" w:type="dxa"/>
          </w:tcPr>
          <w:p w14:paraId="30E7AA26" w14:textId="750896CD" w:rsidR="00E320C2" w:rsidRDefault="00011B0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Never</w:t>
            </w:r>
          </w:p>
        </w:tc>
        <w:tc>
          <w:tcPr>
            <w:tcW w:w="1170" w:type="dxa"/>
          </w:tcPr>
          <w:p w14:paraId="427748A0" w14:textId="43FD9B75" w:rsidR="00E320C2" w:rsidRDefault="00011B0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n/a</w:t>
            </w:r>
          </w:p>
        </w:tc>
      </w:tr>
      <w:tr w:rsidR="00E320C2" w14:paraId="34DA6303" w14:textId="77777777" w:rsidTr="00E320C2">
        <w:tc>
          <w:tcPr>
            <w:tcW w:w="1051" w:type="dxa"/>
          </w:tcPr>
          <w:p w14:paraId="64809DC0" w14:textId="7677B28E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</w:t>
            </w:r>
          </w:p>
        </w:tc>
        <w:tc>
          <w:tcPr>
            <w:tcW w:w="1051" w:type="dxa"/>
          </w:tcPr>
          <w:p w14:paraId="3530AA3D" w14:textId="7B1F986C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5</w:t>
            </w:r>
          </w:p>
        </w:tc>
        <w:tc>
          <w:tcPr>
            <w:tcW w:w="1066" w:type="dxa"/>
          </w:tcPr>
          <w:p w14:paraId="26FFB7AF" w14:textId="66A95A4D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Never</w:t>
            </w:r>
          </w:p>
        </w:tc>
        <w:tc>
          <w:tcPr>
            <w:tcW w:w="1170" w:type="dxa"/>
          </w:tcPr>
          <w:p w14:paraId="3B368007" w14:textId="77FAA69A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n/a</w:t>
            </w:r>
          </w:p>
        </w:tc>
      </w:tr>
      <w:tr w:rsidR="00E320C2" w14:paraId="6D61D2CF" w14:textId="77777777" w:rsidTr="00E320C2">
        <w:tc>
          <w:tcPr>
            <w:tcW w:w="1051" w:type="dxa"/>
          </w:tcPr>
          <w:p w14:paraId="39153518" w14:textId="6909ED97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</w:t>
            </w:r>
          </w:p>
        </w:tc>
        <w:tc>
          <w:tcPr>
            <w:tcW w:w="1051" w:type="dxa"/>
          </w:tcPr>
          <w:p w14:paraId="7DA2ACBC" w14:textId="06275169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10</w:t>
            </w:r>
          </w:p>
        </w:tc>
        <w:tc>
          <w:tcPr>
            <w:tcW w:w="1066" w:type="dxa"/>
          </w:tcPr>
          <w:p w14:paraId="64C9B263" w14:textId="09FA36EF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Never</w:t>
            </w:r>
          </w:p>
        </w:tc>
        <w:tc>
          <w:tcPr>
            <w:tcW w:w="1170" w:type="dxa"/>
          </w:tcPr>
          <w:p w14:paraId="28CD772D" w14:textId="554CA249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n/a</w:t>
            </w:r>
          </w:p>
        </w:tc>
      </w:tr>
      <w:tr w:rsidR="00E320C2" w14:paraId="4BF0BA1D" w14:textId="77777777" w:rsidTr="00E320C2">
        <w:tc>
          <w:tcPr>
            <w:tcW w:w="1051" w:type="dxa"/>
          </w:tcPr>
          <w:p w14:paraId="5CE14AC1" w14:textId="3CECAB5F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</w:t>
            </w:r>
          </w:p>
        </w:tc>
        <w:tc>
          <w:tcPr>
            <w:tcW w:w="1051" w:type="dxa"/>
          </w:tcPr>
          <w:p w14:paraId="49FDBC2F" w14:textId="2D6AEB75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15</w:t>
            </w:r>
          </w:p>
        </w:tc>
        <w:tc>
          <w:tcPr>
            <w:tcW w:w="1066" w:type="dxa"/>
          </w:tcPr>
          <w:p w14:paraId="26292A65" w14:textId="5F1A2512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Never</w:t>
            </w:r>
          </w:p>
        </w:tc>
        <w:tc>
          <w:tcPr>
            <w:tcW w:w="1170" w:type="dxa"/>
          </w:tcPr>
          <w:p w14:paraId="144C3DEF" w14:textId="090D10DD" w:rsidR="00E320C2" w:rsidRDefault="00E320C2" w:rsidP="00D56F08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n/a</w:t>
            </w:r>
          </w:p>
        </w:tc>
      </w:tr>
    </w:tbl>
    <w:p w14:paraId="2AE63DB7" w14:textId="0DAAA9CB" w:rsidR="00E320C2" w:rsidRPr="00E320C2" w:rsidRDefault="00E320C2" w:rsidP="00E320C2">
      <w:pPr>
        <w:pStyle w:val="Heading1"/>
        <w:numPr>
          <w:ilvl w:val="0"/>
          <w:numId w:val="0"/>
        </w:numPr>
        <w:ind w:left="360" w:hanging="360"/>
        <w:rPr>
          <w:b w:val="0"/>
        </w:rPr>
      </w:pPr>
      <w:r w:rsidRPr="00E320C2">
        <w:rPr>
          <w:b w:val="0"/>
        </w:rPr>
        <w:tab/>
        <w:t xml:space="preserve">Table </w:t>
      </w:r>
      <w:r w:rsidR="00426408">
        <w:rPr>
          <w:b w:val="0"/>
        </w:rPr>
        <w:t>4</w:t>
      </w:r>
      <w:r w:rsidRPr="00E320C2">
        <w:rPr>
          <w:b w:val="0"/>
        </w:rPr>
        <w:t>. End-of-summer</w:t>
      </w:r>
      <w:r>
        <w:rPr>
          <w:b w:val="0"/>
        </w:rPr>
        <w:t xml:space="preserve"> estimates using approach 2.</w:t>
      </w:r>
    </w:p>
    <w:p w14:paraId="7F7AE9EB" w14:textId="02F86BFC" w:rsidR="00630D96" w:rsidRPr="00374703" w:rsidRDefault="00630D96" w:rsidP="00711F9C">
      <w:pPr>
        <w:autoSpaceDE w:val="0"/>
        <w:autoSpaceDN w:val="0"/>
        <w:adjustRightInd w:val="0"/>
      </w:pPr>
    </w:p>
    <w:sectPr w:rsidR="00630D96" w:rsidRPr="00374703" w:rsidSect="00C45616">
      <w:headerReference w:type="default" r:id="rId14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A78CF8" w14:textId="77777777" w:rsidR="00934702" w:rsidRDefault="00934702" w:rsidP="007C2DDA">
      <w:r>
        <w:separator/>
      </w:r>
    </w:p>
  </w:endnote>
  <w:endnote w:type="continuationSeparator" w:id="0">
    <w:p w14:paraId="660721DF" w14:textId="77777777" w:rsidR="00934702" w:rsidRDefault="00934702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5DA17B" w14:textId="77777777" w:rsidR="00934702" w:rsidRDefault="00934702" w:rsidP="007C2DDA">
      <w:r>
        <w:separator/>
      </w:r>
    </w:p>
  </w:footnote>
  <w:footnote w:type="continuationSeparator" w:id="0">
    <w:p w14:paraId="3E6B4ADD" w14:textId="77777777" w:rsidR="00934702" w:rsidRDefault="00934702" w:rsidP="007C2DDA">
      <w:r>
        <w:continuationSeparator/>
      </w:r>
    </w:p>
  </w:footnote>
  <w:footnote w:id="1">
    <w:p w14:paraId="09CEA1CE" w14:textId="5706A491" w:rsidR="00CF6706" w:rsidRDefault="00CF6706">
      <w:pPr>
        <w:pStyle w:val="FootnoteText"/>
      </w:pPr>
      <w:r>
        <w:rPr>
          <w:rStyle w:val="FootnoteReference"/>
        </w:rPr>
        <w:footnoteRef/>
      </w:r>
      <w:r>
        <w:t xml:space="preserve"> Of course, this is the same as the average over all 620 July observations (31 days each year for 20 years).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F76582" w:rsidRPr="002137A0" w:rsidRDefault="00F76582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F76582" w:rsidRDefault="00F76582">
    <w:pPr>
      <w:pStyle w:val="Header"/>
    </w:pPr>
  </w:p>
  <w:p w14:paraId="29037C71" w14:textId="4DD66EBE" w:rsidR="00F76582" w:rsidRDefault="00F76582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8361B1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F1069"/>
    <w:multiLevelType w:val="hybridMultilevel"/>
    <w:tmpl w:val="9C7240C8"/>
    <w:lvl w:ilvl="0" w:tplc="39E0D6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1B02"/>
    <w:rsid w:val="00021A46"/>
    <w:rsid w:val="00052CD8"/>
    <w:rsid w:val="000700BA"/>
    <w:rsid w:val="0007529E"/>
    <w:rsid w:val="000876A5"/>
    <w:rsid w:val="000C5FE6"/>
    <w:rsid w:val="000D4ADE"/>
    <w:rsid w:val="00105EFB"/>
    <w:rsid w:val="00150721"/>
    <w:rsid w:val="00193CE4"/>
    <w:rsid w:val="001B3BBD"/>
    <w:rsid w:val="001D303C"/>
    <w:rsid w:val="0025555F"/>
    <w:rsid w:val="002962F0"/>
    <w:rsid w:val="002B69B9"/>
    <w:rsid w:val="002D4A9C"/>
    <w:rsid w:val="00374703"/>
    <w:rsid w:val="003A393F"/>
    <w:rsid w:val="003B0440"/>
    <w:rsid w:val="0041413D"/>
    <w:rsid w:val="00420244"/>
    <w:rsid w:val="00421F4C"/>
    <w:rsid w:val="00426408"/>
    <w:rsid w:val="004B506A"/>
    <w:rsid w:val="004C3020"/>
    <w:rsid w:val="005108CE"/>
    <w:rsid w:val="0051110A"/>
    <w:rsid w:val="005258C7"/>
    <w:rsid w:val="00531DDD"/>
    <w:rsid w:val="005C4F0B"/>
    <w:rsid w:val="005C765C"/>
    <w:rsid w:val="005E4520"/>
    <w:rsid w:val="00630D96"/>
    <w:rsid w:val="006B0079"/>
    <w:rsid w:val="006B595F"/>
    <w:rsid w:val="006E4A3A"/>
    <w:rsid w:val="00711F9C"/>
    <w:rsid w:val="007A1659"/>
    <w:rsid w:val="007B634A"/>
    <w:rsid w:val="007B6602"/>
    <w:rsid w:val="007C2DDA"/>
    <w:rsid w:val="007E0AE3"/>
    <w:rsid w:val="007E467C"/>
    <w:rsid w:val="0081192F"/>
    <w:rsid w:val="00813F58"/>
    <w:rsid w:val="00834BFE"/>
    <w:rsid w:val="00846A3D"/>
    <w:rsid w:val="008C154C"/>
    <w:rsid w:val="00934702"/>
    <w:rsid w:val="00953A28"/>
    <w:rsid w:val="009640EB"/>
    <w:rsid w:val="0099121B"/>
    <w:rsid w:val="009A4795"/>
    <w:rsid w:val="009E0C0D"/>
    <w:rsid w:val="009F1E15"/>
    <w:rsid w:val="00A00A95"/>
    <w:rsid w:val="00A9144F"/>
    <w:rsid w:val="00A96B88"/>
    <w:rsid w:val="00AB7A79"/>
    <w:rsid w:val="00B01938"/>
    <w:rsid w:val="00B0408E"/>
    <w:rsid w:val="00B34539"/>
    <w:rsid w:val="00B6011D"/>
    <w:rsid w:val="00B65983"/>
    <w:rsid w:val="00C2727E"/>
    <w:rsid w:val="00C30ADC"/>
    <w:rsid w:val="00C45616"/>
    <w:rsid w:val="00C66804"/>
    <w:rsid w:val="00CC76E5"/>
    <w:rsid w:val="00CE6335"/>
    <w:rsid w:val="00CF6706"/>
    <w:rsid w:val="00D04308"/>
    <w:rsid w:val="00D31C83"/>
    <w:rsid w:val="00D71DFC"/>
    <w:rsid w:val="00DC5303"/>
    <w:rsid w:val="00DD3C7F"/>
    <w:rsid w:val="00E320C2"/>
    <w:rsid w:val="00E6255D"/>
    <w:rsid w:val="00E73657"/>
    <w:rsid w:val="00E76944"/>
    <w:rsid w:val="00EA68C8"/>
    <w:rsid w:val="00ED0012"/>
    <w:rsid w:val="00EF0A99"/>
    <w:rsid w:val="00EF70E8"/>
    <w:rsid w:val="00F0149D"/>
    <w:rsid w:val="00F5488B"/>
    <w:rsid w:val="00F70BC5"/>
    <w:rsid w:val="00F76582"/>
    <w:rsid w:val="00F957E3"/>
    <w:rsid w:val="00F9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1E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1E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weathernet.com/atlanta-weather-records" TargetMode="External"/><Relationship Id="rId13" Type="http://schemas.openxmlformats.org/officeDocument/2006/relationships/chart" Target="charts/chart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www.wunderground.com/history/airport/KFTY/2015/7/1/CustomHistory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sokol\Desktop\random\course%20stuff\isye%208803\online\homeworks\solutions\hw2\HW2-Q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sokol\Desktop\random\course%20stuff\isye%208803\online\homeworks\solutions\hw2\HW2-Q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sokol\Desktop\random\course%20stuff\isye%208803\online\homeworks\solutions\hw2\HW2-Q5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sokol\Desktop\random\course%20stuff\isye%208803\online\homeworks\solutions\hw2\HW2-Q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'Part 1 Approach 1'!$A$3:$A$125</c:f>
              <c:numCache>
                <c:formatCode>d\-mmm</c:formatCode>
                <c:ptCount val="123"/>
                <c:pt idx="0">
                  <c:v>42917</c:v>
                </c:pt>
                <c:pt idx="1">
                  <c:v>42918</c:v>
                </c:pt>
                <c:pt idx="2">
                  <c:v>42919</c:v>
                </c:pt>
                <c:pt idx="3">
                  <c:v>42920</c:v>
                </c:pt>
                <c:pt idx="4">
                  <c:v>42921</c:v>
                </c:pt>
                <c:pt idx="5">
                  <c:v>42922</c:v>
                </c:pt>
                <c:pt idx="6">
                  <c:v>42923</c:v>
                </c:pt>
                <c:pt idx="7">
                  <c:v>42924</c:v>
                </c:pt>
                <c:pt idx="8">
                  <c:v>42925</c:v>
                </c:pt>
                <c:pt idx="9">
                  <c:v>42926</c:v>
                </c:pt>
                <c:pt idx="10">
                  <c:v>42927</c:v>
                </c:pt>
                <c:pt idx="11">
                  <c:v>42928</c:v>
                </c:pt>
                <c:pt idx="12">
                  <c:v>42929</c:v>
                </c:pt>
                <c:pt idx="13">
                  <c:v>42930</c:v>
                </c:pt>
                <c:pt idx="14">
                  <c:v>42931</c:v>
                </c:pt>
                <c:pt idx="15">
                  <c:v>42932</c:v>
                </c:pt>
                <c:pt idx="16">
                  <c:v>42933</c:v>
                </c:pt>
                <c:pt idx="17">
                  <c:v>42934</c:v>
                </c:pt>
                <c:pt idx="18">
                  <c:v>42935</c:v>
                </c:pt>
                <c:pt idx="19">
                  <c:v>42936</c:v>
                </c:pt>
                <c:pt idx="20">
                  <c:v>42937</c:v>
                </c:pt>
                <c:pt idx="21">
                  <c:v>42938</c:v>
                </c:pt>
                <c:pt idx="22">
                  <c:v>42939</c:v>
                </c:pt>
                <c:pt idx="23">
                  <c:v>42940</c:v>
                </c:pt>
                <c:pt idx="24">
                  <c:v>42941</c:v>
                </c:pt>
                <c:pt idx="25">
                  <c:v>42942</c:v>
                </c:pt>
                <c:pt idx="26">
                  <c:v>42943</c:v>
                </c:pt>
                <c:pt idx="27">
                  <c:v>42944</c:v>
                </c:pt>
                <c:pt idx="28">
                  <c:v>42945</c:v>
                </c:pt>
                <c:pt idx="29">
                  <c:v>42946</c:v>
                </c:pt>
                <c:pt idx="30">
                  <c:v>42947</c:v>
                </c:pt>
                <c:pt idx="31">
                  <c:v>42948</c:v>
                </c:pt>
                <c:pt idx="32">
                  <c:v>42949</c:v>
                </c:pt>
                <c:pt idx="33">
                  <c:v>42950</c:v>
                </c:pt>
                <c:pt idx="34">
                  <c:v>42951</c:v>
                </c:pt>
                <c:pt idx="35">
                  <c:v>42952</c:v>
                </c:pt>
                <c:pt idx="36">
                  <c:v>42953</c:v>
                </c:pt>
                <c:pt idx="37">
                  <c:v>42954</c:v>
                </c:pt>
                <c:pt idx="38">
                  <c:v>42955</c:v>
                </c:pt>
                <c:pt idx="39">
                  <c:v>42956</c:v>
                </c:pt>
                <c:pt idx="40">
                  <c:v>42957</c:v>
                </c:pt>
                <c:pt idx="41">
                  <c:v>42958</c:v>
                </c:pt>
                <c:pt idx="42">
                  <c:v>42959</c:v>
                </c:pt>
                <c:pt idx="43">
                  <c:v>42960</c:v>
                </c:pt>
                <c:pt idx="44">
                  <c:v>42961</c:v>
                </c:pt>
                <c:pt idx="45">
                  <c:v>42962</c:v>
                </c:pt>
                <c:pt idx="46">
                  <c:v>42963</c:v>
                </c:pt>
                <c:pt idx="47">
                  <c:v>42964</c:v>
                </c:pt>
                <c:pt idx="48">
                  <c:v>42965</c:v>
                </c:pt>
                <c:pt idx="49">
                  <c:v>42966</c:v>
                </c:pt>
                <c:pt idx="50">
                  <c:v>42967</c:v>
                </c:pt>
                <c:pt idx="51">
                  <c:v>42968</c:v>
                </c:pt>
                <c:pt idx="52">
                  <c:v>42969</c:v>
                </c:pt>
                <c:pt idx="53">
                  <c:v>42970</c:v>
                </c:pt>
                <c:pt idx="54">
                  <c:v>42971</c:v>
                </c:pt>
                <c:pt idx="55">
                  <c:v>42972</c:v>
                </c:pt>
                <c:pt idx="56">
                  <c:v>42973</c:v>
                </c:pt>
                <c:pt idx="57">
                  <c:v>42974</c:v>
                </c:pt>
                <c:pt idx="58">
                  <c:v>42975</c:v>
                </c:pt>
                <c:pt idx="59">
                  <c:v>42976</c:v>
                </c:pt>
                <c:pt idx="60">
                  <c:v>42977</c:v>
                </c:pt>
                <c:pt idx="61">
                  <c:v>42978</c:v>
                </c:pt>
                <c:pt idx="62">
                  <c:v>42979</c:v>
                </c:pt>
                <c:pt idx="63">
                  <c:v>42980</c:v>
                </c:pt>
                <c:pt idx="64">
                  <c:v>42981</c:v>
                </c:pt>
                <c:pt idx="65">
                  <c:v>42982</c:v>
                </c:pt>
                <c:pt idx="66">
                  <c:v>42983</c:v>
                </c:pt>
                <c:pt idx="67">
                  <c:v>42984</c:v>
                </c:pt>
                <c:pt idx="68">
                  <c:v>42985</c:v>
                </c:pt>
                <c:pt idx="69">
                  <c:v>42986</c:v>
                </c:pt>
                <c:pt idx="70">
                  <c:v>42987</c:v>
                </c:pt>
                <c:pt idx="71">
                  <c:v>42988</c:v>
                </c:pt>
                <c:pt idx="72">
                  <c:v>42989</c:v>
                </c:pt>
                <c:pt idx="73">
                  <c:v>42990</c:v>
                </c:pt>
                <c:pt idx="74">
                  <c:v>42991</c:v>
                </c:pt>
                <c:pt idx="75">
                  <c:v>42992</c:v>
                </c:pt>
                <c:pt idx="76">
                  <c:v>42993</c:v>
                </c:pt>
                <c:pt idx="77">
                  <c:v>42994</c:v>
                </c:pt>
                <c:pt idx="78">
                  <c:v>42995</c:v>
                </c:pt>
                <c:pt idx="79">
                  <c:v>42996</c:v>
                </c:pt>
                <c:pt idx="80">
                  <c:v>42997</c:v>
                </c:pt>
                <c:pt idx="81">
                  <c:v>42998</c:v>
                </c:pt>
                <c:pt idx="82">
                  <c:v>42999</c:v>
                </c:pt>
                <c:pt idx="83">
                  <c:v>43000</c:v>
                </c:pt>
                <c:pt idx="84">
                  <c:v>43001</c:v>
                </c:pt>
                <c:pt idx="85">
                  <c:v>43002</c:v>
                </c:pt>
                <c:pt idx="86">
                  <c:v>43003</c:v>
                </c:pt>
                <c:pt idx="87">
                  <c:v>43004</c:v>
                </c:pt>
                <c:pt idx="88">
                  <c:v>43005</c:v>
                </c:pt>
                <c:pt idx="89">
                  <c:v>43006</c:v>
                </c:pt>
                <c:pt idx="90">
                  <c:v>43007</c:v>
                </c:pt>
                <c:pt idx="91">
                  <c:v>43008</c:v>
                </c:pt>
                <c:pt idx="92">
                  <c:v>43009</c:v>
                </c:pt>
                <c:pt idx="93">
                  <c:v>43010</c:v>
                </c:pt>
                <c:pt idx="94">
                  <c:v>43011</c:v>
                </c:pt>
                <c:pt idx="95">
                  <c:v>43012</c:v>
                </c:pt>
                <c:pt idx="96">
                  <c:v>43013</c:v>
                </c:pt>
                <c:pt idx="97">
                  <c:v>43014</c:v>
                </c:pt>
                <c:pt idx="98">
                  <c:v>43015</c:v>
                </c:pt>
                <c:pt idx="99">
                  <c:v>43016</c:v>
                </c:pt>
                <c:pt idx="100">
                  <c:v>43017</c:v>
                </c:pt>
                <c:pt idx="101">
                  <c:v>43018</c:v>
                </c:pt>
                <c:pt idx="102">
                  <c:v>43019</c:v>
                </c:pt>
                <c:pt idx="103">
                  <c:v>43020</c:v>
                </c:pt>
                <c:pt idx="104">
                  <c:v>43021</c:v>
                </c:pt>
                <c:pt idx="105">
                  <c:v>43022</c:v>
                </c:pt>
                <c:pt idx="106">
                  <c:v>43023</c:v>
                </c:pt>
                <c:pt idx="107">
                  <c:v>43024</c:v>
                </c:pt>
                <c:pt idx="108">
                  <c:v>43025</c:v>
                </c:pt>
                <c:pt idx="109">
                  <c:v>43026</c:v>
                </c:pt>
                <c:pt idx="110">
                  <c:v>43027</c:v>
                </c:pt>
                <c:pt idx="111">
                  <c:v>43028</c:v>
                </c:pt>
                <c:pt idx="112">
                  <c:v>43029</c:v>
                </c:pt>
                <c:pt idx="113">
                  <c:v>43030</c:v>
                </c:pt>
                <c:pt idx="114">
                  <c:v>43031</c:v>
                </c:pt>
                <c:pt idx="115">
                  <c:v>43032</c:v>
                </c:pt>
                <c:pt idx="116">
                  <c:v>43033</c:v>
                </c:pt>
                <c:pt idx="117">
                  <c:v>43034</c:v>
                </c:pt>
                <c:pt idx="118">
                  <c:v>43035</c:v>
                </c:pt>
                <c:pt idx="119">
                  <c:v>43036</c:v>
                </c:pt>
                <c:pt idx="120">
                  <c:v>43037</c:v>
                </c:pt>
                <c:pt idx="121">
                  <c:v>43038</c:v>
                </c:pt>
                <c:pt idx="122">
                  <c:v>43039</c:v>
                </c:pt>
              </c:numCache>
            </c:numRef>
          </c:xVal>
          <c:yVal>
            <c:numRef>
              <c:f>'Part 1 Approach 1'!$B$3:$B$125</c:f>
              <c:numCache>
                <c:formatCode>General</c:formatCode>
                <c:ptCount val="123"/>
                <c:pt idx="0">
                  <c:v>88.85</c:v>
                </c:pt>
                <c:pt idx="1">
                  <c:v>88.35</c:v>
                </c:pt>
                <c:pt idx="2">
                  <c:v>88.4</c:v>
                </c:pt>
                <c:pt idx="3">
                  <c:v>88.35</c:v>
                </c:pt>
                <c:pt idx="4">
                  <c:v>88.25</c:v>
                </c:pt>
                <c:pt idx="5">
                  <c:v>87.85</c:v>
                </c:pt>
                <c:pt idx="6">
                  <c:v>87.1</c:v>
                </c:pt>
                <c:pt idx="7">
                  <c:v>89.15</c:v>
                </c:pt>
                <c:pt idx="8">
                  <c:v>90.05</c:v>
                </c:pt>
                <c:pt idx="9">
                  <c:v>88.55</c:v>
                </c:pt>
                <c:pt idx="10">
                  <c:v>87.95</c:v>
                </c:pt>
                <c:pt idx="11">
                  <c:v>88.15</c:v>
                </c:pt>
                <c:pt idx="12">
                  <c:v>87.2</c:v>
                </c:pt>
                <c:pt idx="13">
                  <c:v>88.2</c:v>
                </c:pt>
                <c:pt idx="14">
                  <c:v>87</c:v>
                </c:pt>
                <c:pt idx="15">
                  <c:v>88.1</c:v>
                </c:pt>
                <c:pt idx="16">
                  <c:v>89.2</c:v>
                </c:pt>
                <c:pt idx="17">
                  <c:v>89.25</c:v>
                </c:pt>
                <c:pt idx="18">
                  <c:v>90.4</c:v>
                </c:pt>
                <c:pt idx="19">
                  <c:v>89.4</c:v>
                </c:pt>
                <c:pt idx="20">
                  <c:v>89.95</c:v>
                </c:pt>
                <c:pt idx="21">
                  <c:v>89.45</c:v>
                </c:pt>
                <c:pt idx="22">
                  <c:v>89.05</c:v>
                </c:pt>
                <c:pt idx="23">
                  <c:v>89.1</c:v>
                </c:pt>
                <c:pt idx="24">
                  <c:v>88</c:v>
                </c:pt>
                <c:pt idx="25">
                  <c:v>89.5</c:v>
                </c:pt>
                <c:pt idx="26">
                  <c:v>89.55</c:v>
                </c:pt>
                <c:pt idx="27">
                  <c:v>89.95</c:v>
                </c:pt>
                <c:pt idx="28">
                  <c:v>89.25</c:v>
                </c:pt>
                <c:pt idx="29">
                  <c:v>89.55</c:v>
                </c:pt>
                <c:pt idx="30">
                  <c:v>88.15</c:v>
                </c:pt>
                <c:pt idx="31">
                  <c:v>88.55</c:v>
                </c:pt>
                <c:pt idx="32">
                  <c:v>88.65</c:v>
                </c:pt>
                <c:pt idx="33">
                  <c:v>89.55</c:v>
                </c:pt>
                <c:pt idx="34">
                  <c:v>90.3</c:v>
                </c:pt>
                <c:pt idx="35">
                  <c:v>91.15</c:v>
                </c:pt>
                <c:pt idx="36">
                  <c:v>89.4</c:v>
                </c:pt>
                <c:pt idx="37">
                  <c:v>88.95</c:v>
                </c:pt>
                <c:pt idx="38">
                  <c:v>88.75</c:v>
                </c:pt>
                <c:pt idx="39">
                  <c:v>89</c:v>
                </c:pt>
                <c:pt idx="40">
                  <c:v>89.25</c:v>
                </c:pt>
                <c:pt idx="41">
                  <c:v>89.2</c:v>
                </c:pt>
                <c:pt idx="42">
                  <c:v>87.9</c:v>
                </c:pt>
                <c:pt idx="43">
                  <c:v>88.1</c:v>
                </c:pt>
                <c:pt idx="44">
                  <c:v>88.3</c:v>
                </c:pt>
                <c:pt idx="45">
                  <c:v>88</c:v>
                </c:pt>
                <c:pt idx="46">
                  <c:v>88.8</c:v>
                </c:pt>
                <c:pt idx="47">
                  <c:v>89.05</c:v>
                </c:pt>
                <c:pt idx="48">
                  <c:v>90.15</c:v>
                </c:pt>
                <c:pt idx="49">
                  <c:v>90.3</c:v>
                </c:pt>
                <c:pt idx="50">
                  <c:v>89.3</c:v>
                </c:pt>
                <c:pt idx="51">
                  <c:v>89.1</c:v>
                </c:pt>
                <c:pt idx="52">
                  <c:v>89.4</c:v>
                </c:pt>
                <c:pt idx="53">
                  <c:v>88.4</c:v>
                </c:pt>
                <c:pt idx="54">
                  <c:v>87.85</c:v>
                </c:pt>
                <c:pt idx="55">
                  <c:v>86.5</c:v>
                </c:pt>
                <c:pt idx="56">
                  <c:v>88.45</c:v>
                </c:pt>
                <c:pt idx="57">
                  <c:v>87.6</c:v>
                </c:pt>
                <c:pt idx="58">
                  <c:v>87.15</c:v>
                </c:pt>
                <c:pt idx="59">
                  <c:v>88.3</c:v>
                </c:pt>
                <c:pt idx="60">
                  <c:v>85.8</c:v>
                </c:pt>
                <c:pt idx="61">
                  <c:v>85.9</c:v>
                </c:pt>
                <c:pt idx="62">
                  <c:v>85.25</c:v>
                </c:pt>
                <c:pt idx="63">
                  <c:v>85.25</c:v>
                </c:pt>
                <c:pt idx="64">
                  <c:v>85.9</c:v>
                </c:pt>
                <c:pt idx="65">
                  <c:v>85.8</c:v>
                </c:pt>
                <c:pt idx="66">
                  <c:v>86.2</c:v>
                </c:pt>
                <c:pt idx="67">
                  <c:v>84.6</c:v>
                </c:pt>
                <c:pt idx="68">
                  <c:v>84.75</c:v>
                </c:pt>
                <c:pt idx="69">
                  <c:v>85.25</c:v>
                </c:pt>
                <c:pt idx="70">
                  <c:v>85.05</c:v>
                </c:pt>
                <c:pt idx="71">
                  <c:v>85.25</c:v>
                </c:pt>
                <c:pt idx="72">
                  <c:v>85.55</c:v>
                </c:pt>
                <c:pt idx="73">
                  <c:v>85.3</c:v>
                </c:pt>
                <c:pt idx="74">
                  <c:v>83.1</c:v>
                </c:pt>
                <c:pt idx="75">
                  <c:v>83.65</c:v>
                </c:pt>
                <c:pt idx="76">
                  <c:v>83.7</c:v>
                </c:pt>
                <c:pt idx="77">
                  <c:v>82.25</c:v>
                </c:pt>
                <c:pt idx="78">
                  <c:v>81.849999999999994</c:v>
                </c:pt>
                <c:pt idx="79">
                  <c:v>81.7</c:v>
                </c:pt>
                <c:pt idx="80">
                  <c:v>82.4</c:v>
                </c:pt>
                <c:pt idx="81">
                  <c:v>83</c:v>
                </c:pt>
                <c:pt idx="82">
                  <c:v>81.599999999999994</c:v>
                </c:pt>
                <c:pt idx="83">
                  <c:v>81.2</c:v>
                </c:pt>
                <c:pt idx="84">
                  <c:v>82.75</c:v>
                </c:pt>
                <c:pt idx="85">
                  <c:v>80.400000000000006</c:v>
                </c:pt>
                <c:pt idx="86">
                  <c:v>79.3</c:v>
                </c:pt>
                <c:pt idx="87">
                  <c:v>78.55</c:v>
                </c:pt>
                <c:pt idx="88">
                  <c:v>78.55</c:v>
                </c:pt>
                <c:pt idx="89">
                  <c:v>78.650000000000006</c:v>
                </c:pt>
                <c:pt idx="90">
                  <c:v>76.349999999999994</c:v>
                </c:pt>
                <c:pt idx="91">
                  <c:v>77</c:v>
                </c:pt>
                <c:pt idx="92">
                  <c:v>77.099999999999994</c:v>
                </c:pt>
                <c:pt idx="93">
                  <c:v>76.95</c:v>
                </c:pt>
                <c:pt idx="94">
                  <c:v>77.7</c:v>
                </c:pt>
                <c:pt idx="95">
                  <c:v>77.849999999999994</c:v>
                </c:pt>
                <c:pt idx="96">
                  <c:v>78.2</c:v>
                </c:pt>
                <c:pt idx="97">
                  <c:v>76.349999999999994</c:v>
                </c:pt>
                <c:pt idx="98">
                  <c:v>75.599999999999994</c:v>
                </c:pt>
                <c:pt idx="99">
                  <c:v>74.8</c:v>
                </c:pt>
                <c:pt idx="100">
                  <c:v>74.25</c:v>
                </c:pt>
                <c:pt idx="101">
                  <c:v>75.150000000000006</c:v>
                </c:pt>
                <c:pt idx="102">
                  <c:v>75.849999999999994</c:v>
                </c:pt>
                <c:pt idx="103">
                  <c:v>75.8</c:v>
                </c:pt>
                <c:pt idx="104">
                  <c:v>75.45</c:v>
                </c:pt>
                <c:pt idx="105">
                  <c:v>74.2</c:v>
                </c:pt>
                <c:pt idx="106">
                  <c:v>72.900000000000006</c:v>
                </c:pt>
                <c:pt idx="107">
                  <c:v>72.650000000000006</c:v>
                </c:pt>
                <c:pt idx="108">
                  <c:v>73.099999999999994</c:v>
                </c:pt>
                <c:pt idx="109">
                  <c:v>71.900000000000006</c:v>
                </c:pt>
                <c:pt idx="110">
                  <c:v>71.05</c:v>
                </c:pt>
                <c:pt idx="111">
                  <c:v>71.25</c:v>
                </c:pt>
                <c:pt idx="112">
                  <c:v>74.099999999999994</c:v>
                </c:pt>
                <c:pt idx="113">
                  <c:v>72.349999999999994</c:v>
                </c:pt>
                <c:pt idx="114">
                  <c:v>69.650000000000006</c:v>
                </c:pt>
                <c:pt idx="115">
                  <c:v>68.849999999999994</c:v>
                </c:pt>
                <c:pt idx="116">
                  <c:v>69.349999999999994</c:v>
                </c:pt>
                <c:pt idx="117">
                  <c:v>71.400000000000006</c:v>
                </c:pt>
                <c:pt idx="118">
                  <c:v>68.900000000000006</c:v>
                </c:pt>
                <c:pt idx="119">
                  <c:v>68.599999999999994</c:v>
                </c:pt>
                <c:pt idx="120">
                  <c:v>69.349999999999994</c:v>
                </c:pt>
                <c:pt idx="121">
                  <c:v>71.05</c:v>
                </c:pt>
                <c:pt idx="122">
                  <c:v>70.5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683584"/>
        <c:axId val="91337856"/>
      </c:scatterChart>
      <c:valAx>
        <c:axId val="85683584"/>
        <c:scaling>
          <c:orientation val="minMax"/>
          <c:max val="43039"/>
          <c:min val="42917"/>
        </c:scaling>
        <c:delete val="0"/>
        <c:axPos val="b"/>
        <c:numFmt formatCode="d\-mmm" sourceLinked="1"/>
        <c:majorTickMark val="out"/>
        <c:minorTickMark val="none"/>
        <c:tickLblPos val="nextTo"/>
        <c:crossAx val="91337856"/>
        <c:crosses val="autoZero"/>
        <c:crossBetween val="midCat"/>
      </c:valAx>
      <c:valAx>
        <c:axId val="91337856"/>
        <c:scaling>
          <c:orientation val="minMax"/>
          <c:max val="100"/>
          <c:min val="6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56835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'Part 1 Approach 2'!$B$8:$U$8</c:f>
              <c:numCache>
                <c:formatCode>General</c:formatCode>
                <c:ptCount val="20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</c:numCache>
            </c:numRef>
          </c:xVal>
          <c:yVal>
            <c:numRef>
              <c:f>'Part 1 Approach 2'!$B$9:$U$9</c:f>
              <c:numCache>
                <c:formatCode>d\-mmm</c:formatCode>
                <c:ptCount val="20"/>
                <c:pt idx="0">
                  <c:v>42995</c:v>
                </c:pt>
                <c:pt idx="1">
                  <c:v>43004</c:v>
                </c:pt>
                <c:pt idx="2">
                  <c:v>43008</c:v>
                </c:pt>
                <c:pt idx="3">
                  <c:v>43000</c:v>
                </c:pt>
                <c:pt idx="4">
                  <c:v>42984</c:v>
                </c:pt>
                <c:pt idx="5">
                  <c:v>43004</c:v>
                </c:pt>
                <c:pt idx="6">
                  <c:v>43003</c:v>
                </c:pt>
                <c:pt idx="7">
                  <c:v>43009</c:v>
                </c:pt>
                <c:pt idx="8">
                  <c:v>42994</c:v>
                </c:pt>
                <c:pt idx="9">
                  <c:v>43017</c:v>
                </c:pt>
                <c:pt idx="10">
                  <c:v>42992</c:v>
                </c:pt>
                <c:pt idx="11">
                  <c:v>43021</c:v>
                </c:pt>
                <c:pt idx="12">
                  <c:v>42999</c:v>
                </c:pt>
                <c:pt idx="13">
                  <c:v>42997</c:v>
                </c:pt>
                <c:pt idx="14">
                  <c:v>43008</c:v>
                </c:pt>
                <c:pt idx="15">
                  <c:v>42985</c:v>
                </c:pt>
                <c:pt idx="16">
                  <c:v>42969</c:v>
                </c:pt>
                <c:pt idx="17">
                  <c:v>42965</c:v>
                </c:pt>
                <c:pt idx="18">
                  <c:v>43007</c:v>
                </c:pt>
                <c:pt idx="19">
                  <c:v>42994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342720"/>
        <c:axId val="91344256"/>
      </c:scatterChart>
      <c:valAx>
        <c:axId val="91342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1344256"/>
        <c:crosses val="autoZero"/>
        <c:crossBetween val="midCat"/>
      </c:valAx>
      <c:valAx>
        <c:axId val="91344256"/>
        <c:scaling>
          <c:orientation val="minMax"/>
        </c:scaling>
        <c:delete val="0"/>
        <c:axPos val="l"/>
        <c:majorGridlines/>
        <c:numFmt formatCode="d\-mmm" sourceLinked="1"/>
        <c:majorTickMark val="out"/>
        <c:minorTickMark val="none"/>
        <c:tickLblPos val="nextTo"/>
        <c:crossAx val="913427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'Part 2 Approach 1'!$B$2</c:f>
              <c:strCache>
                <c:ptCount val="1"/>
                <c:pt idx="0">
                  <c:v>DAY</c:v>
                </c:pt>
              </c:strCache>
            </c:strRef>
          </c:tx>
          <c:xVal>
            <c:numRef>
              <c:f>'Part 2 Approach 1'!$A$3:$A$22</c:f>
              <c:numCache>
                <c:formatCode>General</c:formatCode>
                <c:ptCount val="20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</c:numCache>
            </c:numRef>
          </c:xVal>
          <c:yVal>
            <c:numRef>
              <c:f>'Part 2 Approach 1'!$B$3:$B$22</c:f>
              <c:numCache>
                <c:formatCode>d\-mmm</c:formatCode>
                <c:ptCount val="20"/>
                <c:pt idx="0">
                  <c:v>42995</c:v>
                </c:pt>
                <c:pt idx="1">
                  <c:v>43004</c:v>
                </c:pt>
                <c:pt idx="2">
                  <c:v>43008</c:v>
                </c:pt>
                <c:pt idx="3">
                  <c:v>43000</c:v>
                </c:pt>
                <c:pt idx="4">
                  <c:v>42984</c:v>
                </c:pt>
                <c:pt idx="5">
                  <c:v>43004</c:v>
                </c:pt>
                <c:pt idx="6">
                  <c:v>43003</c:v>
                </c:pt>
                <c:pt idx="7">
                  <c:v>43009</c:v>
                </c:pt>
                <c:pt idx="8">
                  <c:v>42994</c:v>
                </c:pt>
                <c:pt idx="9">
                  <c:v>43017</c:v>
                </c:pt>
                <c:pt idx="10">
                  <c:v>42992</c:v>
                </c:pt>
                <c:pt idx="11">
                  <c:v>43021</c:v>
                </c:pt>
                <c:pt idx="12">
                  <c:v>42999</c:v>
                </c:pt>
                <c:pt idx="13">
                  <c:v>42997</c:v>
                </c:pt>
                <c:pt idx="14">
                  <c:v>43008</c:v>
                </c:pt>
                <c:pt idx="15">
                  <c:v>42985</c:v>
                </c:pt>
                <c:pt idx="16">
                  <c:v>42969</c:v>
                </c:pt>
                <c:pt idx="17">
                  <c:v>42965</c:v>
                </c:pt>
                <c:pt idx="18">
                  <c:v>43007</c:v>
                </c:pt>
                <c:pt idx="19">
                  <c:v>42994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454080"/>
        <c:axId val="91472256"/>
      </c:scatterChart>
      <c:valAx>
        <c:axId val="91454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1472256"/>
        <c:crosses val="autoZero"/>
        <c:crossBetween val="midCat"/>
      </c:valAx>
      <c:valAx>
        <c:axId val="91472256"/>
        <c:scaling>
          <c:orientation val="minMax"/>
        </c:scaling>
        <c:delete val="0"/>
        <c:axPos val="l"/>
        <c:majorGridlines/>
        <c:numFmt formatCode="d\-mmm" sourceLinked="1"/>
        <c:majorTickMark val="out"/>
        <c:minorTickMark val="none"/>
        <c:tickLblPos val="nextTo"/>
        <c:crossAx val="914540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xVal>
            <c:numRef>
              <c:f>'Part 2 Approach 2'!$A$3:$A$22</c:f>
              <c:numCache>
                <c:formatCode>General</c:formatCode>
                <c:ptCount val="20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</c:numCache>
            </c:numRef>
          </c:xVal>
          <c:yVal>
            <c:numRef>
              <c:f>'Part 2 Approach 2'!$D$3:$D$22</c:f>
              <c:numCache>
                <c:formatCode>0.00</c:formatCode>
                <c:ptCount val="20"/>
                <c:pt idx="0">
                  <c:v>88.564102564102569</c:v>
                </c:pt>
                <c:pt idx="1">
                  <c:v>86.068965517241381</c:v>
                </c:pt>
                <c:pt idx="2">
                  <c:v>86.978021978021971</c:v>
                </c:pt>
                <c:pt idx="3">
                  <c:v>88.638554216867476</c:v>
                </c:pt>
                <c:pt idx="4">
                  <c:v>90.701492537313428</c:v>
                </c:pt>
                <c:pt idx="5">
                  <c:v>85.425287356321846</c:v>
                </c:pt>
                <c:pt idx="6">
                  <c:v>88.302325581395351</c:v>
                </c:pt>
                <c:pt idx="7">
                  <c:v>84.402173913043484</c:v>
                </c:pt>
                <c:pt idx="8">
                  <c:v>85.402597402597408</c:v>
                </c:pt>
                <c:pt idx="9">
                  <c:v>86.02</c:v>
                </c:pt>
                <c:pt idx="10">
                  <c:v>88.76</c:v>
                </c:pt>
                <c:pt idx="11">
                  <c:v>87.807692307692307</c:v>
                </c:pt>
                <c:pt idx="12">
                  <c:v>86.768292682926827</c:v>
                </c:pt>
                <c:pt idx="13">
                  <c:v>85.587500000000006</c:v>
                </c:pt>
                <c:pt idx="14">
                  <c:v>90.681318681318686</c:v>
                </c:pt>
                <c:pt idx="15">
                  <c:v>92.161764705882348</c:v>
                </c:pt>
                <c:pt idx="16">
                  <c:v>91.84615384615384</c:v>
                </c:pt>
                <c:pt idx="17">
                  <c:v>84.625</c:v>
                </c:pt>
                <c:pt idx="18">
                  <c:v>86.4</c:v>
                </c:pt>
                <c:pt idx="19">
                  <c:v>88.454545454545453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483520"/>
        <c:axId val="91485312"/>
      </c:scatterChart>
      <c:valAx>
        <c:axId val="91483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91485312"/>
        <c:crosses val="autoZero"/>
        <c:crossBetween val="midCat"/>
      </c:valAx>
      <c:valAx>
        <c:axId val="9148531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914835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4</cp:revision>
  <cp:lastPrinted>2017-05-09T12:45:00Z</cp:lastPrinted>
  <dcterms:created xsi:type="dcterms:W3CDTF">2018-01-16T00:34:00Z</dcterms:created>
  <dcterms:modified xsi:type="dcterms:W3CDTF">2018-01-16T03:44:00Z</dcterms:modified>
</cp:coreProperties>
</file>