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0" w:before="0"/>
      </w:pPr>
    </w:p>
    <w:p>
      <w:pPr>
        <w:spacing w:after="180"/>
        <w:jc w:val="center"/>
      </w:pPr>
      <w:r>
        <w:rPr>
          <w:rFonts w:ascii="微软雅黑" w:cs="微软雅黑" w:eastAsia="微软雅黑" w:hAnsi="微软雅黑"/>
          <w:b/>
          <w:bCs/>
          <w:color w:val="1B5EBE"/>
          <w:sz w:val="50"/>
          <w:szCs w:val="50"/>
        </w:rPr>
        <w:t xml:space="preserve">KingKong 体育</w:t>
      </w:r>
    </w:p>
    <w:p>
      <w:pPr>
        <w:spacing w:after="26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36"/>
          <w:szCs w:val="36"/>
        </w:rPr>
        <w:t xml:space="preserve">P2P 下注流程需求说明文档（图文版）</w:t>
      </w:r>
    </w:p>
    <w:p>
      <w:pPr>
        <w:spacing w:after="11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版本 V2.0 · 2026-07 · 产品:Ali</w:t>
      </w:r>
    </w:p>
    <w:p>
      <w:pPr>
        <w:spacing w:after="11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配套原型:C 端 H5 v6.3（文中截图均取自该原型）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一、文档范围</w:t>
      </w:r>
    </w:p>
    <w:p>
      <w:pPr>
        <w:spacing w:after="70" w:before="50"/>
      </w:pP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本文档只覆盖本期有改动的模块:赛事大厅的 P2P 标识与入口、盘口详情页（新增）、购物车的买入 / 串关 / 卖出、注单确认。未改动的买单、卖单、赛果、我的等页面沿用现行实现,不在本文档展开。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5840"/>
      </w:tblGrid>
      <w:tr>
        <w:trPr>
          <w:tblHeader/>
        </w:trPr>
        <w:tc>
          <w:tcPr>
            <w:tcW w:type="dxa" w:w="1928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5840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改动性质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赛事大厅</w:t>
            </w:r>
          </w:p>
        </w:tc>
        <w:tc>
          <w:tcPr>
            <w:tcW w:type="dxa" w:w="58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改造:P2P 标识与红点规则、联赛比赛数、所有盘口与 P2P 入口、P2P 筛选</w:t>
            </w:r>
          </w:p>
        </w:tc>
      </w:tr>
      <w:tr>
        <w:tc>
          <w:tcPr>
            <w:tcW w:type="dxa" w:w="192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盘口详情页</w:t>
            </w:r>
          </w:p>
        </w:tc>
        <w:tc>
          <w:tcPr>
            <w:tcW w:type="dxa" w:w="584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新增:展示该场全部盘口,由所有盘口 / P2P 入口进入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购物车 — 买入</w:t>
            </w:r>
          </w:p>
        </w:tc>
        <w:tc>
          <w:tcPr>
            <w:tcW w:type="dxa" w:w="58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改造:面板化、赔率展示三态、档位表与购买计划、数字键盘、自动接受任何赔率</w:t>
            </w:r>
          </w:p>
        </w:tc>
      </w:tr>
      <w:tr>
        <w:tc>
          <w:tcPr>
            <w:tcW w:type="dxa" w:w="192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购物车 — 串关</w:t>
            </w:r>
          </w:p>
        </w:tc>
        <w:tc>
          <w:tcPr>
            <w:tcW w:type="dxa" w:w="584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改造:按注单数激活、过关方式分行独立下注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购物车 — 卖出</w:t>
            </w:r>
          </w:p>
        </w:tc>
        <w:tc>
          <w:tcPr>
            <w:tcW w:type="dxa" w:w="58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改造:与买入同面板切换,补返回入口</w:t>
            </w:r>
          </w:p>
        </w:tc>
      </w:tr>
      <w:tr>
        <w:tc>
          <w:tcPr>
            <w:tcW w:type="dxa" w:w="192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注单确认</w:t>
            </w:r>
          </w:p>
        </w:tc>
        <w:tc>
          <w:tcPr>
            <w:tcW w:type="dxa" w:w="584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改造:确认中 / 已确认两态,含注单号与投注状态</w:t>
            </w:r>
          </w:p>
        </w:tc>
      </w:tr>
    </w:tbl>
    <w:p>
      <w:pPr>
        <w:pBdr>
          <w:left w:val="single" w:color="E65C00" w:sz="12" w:space="8"/>
        </w:pBdr>
        <w:shd w:fill="FFF3E0" w:val="clear"/>
        <w:spacing w:after="100" w:before="10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19"/>
          <w:szCs w:val="19"/>
        </w:rPr>
        <w:t xml:space="preserve">【说明】</w:t>
      </w:r>
      <w:r>
        <w:rPr>
          <w:rFonts w:ascii="微软雅黑" w:cs="微软雅黑" w:eastAsia="微软雅黑" w:hAnsi="微软雅黑"/>
          <w:color w:val="1A1A1A"/>
          <w:sz w:val="19"/>
          <w:szCs w:val="19"/>
        </w:rPr>
        <w:t xml:space="preserve">术语:官方赔率 = 平台盘口赔率;P2P 档位 = 会员挂出的卖出档位;卖一 = 卖单簿中赔率最高的可购档位;庄单 = 会员挂出的 P2P 挂单。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二、赛事大厅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图1 赛事大厅（默认）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图2 P2P 筛选开启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2.1 P2P 标识与红点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赔率格:该投注项存在不低于官方赔率的 P2P 档位时,格内展示这些档位中的最高 P2P 赔率（橙色加粗）;不存在时展示官方赔率。低于官方赔率的档位不参与取值;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红点:存在高于官方赔率的 P2P 档位时,赔率格右上角展示红点;红点常驻不因点击消失,仅当该投注项已无高于官方赔率的 P2P 档位（被买空、下架或赔率回落）时自动消失;档位仅等于官方赔率时不展示红点;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联赛标签:联赛内至少一场比赛存在庄单时,联赛头右侧展示「P2P」标签;无庄单的联赛不展示（图1 中冰岛女子超级联赛即为无标签状态）;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筛选胶囊:有新的 P2P 注单时「P2P」胶囊上展示红点,点击后红点消失。</w:t>
      </w: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2.2 联赛与比赛信息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联赛头:联赛名后展示该联赛内的比赛数,如「爱尔兰超级联赛(2)」;可整组折叠;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比赛卡片底部（队伍名下方）展示两个入口:「所有盘口 N+▸」始终展示;「P2P N」仅当该场存在不低于官方赔率的庄单时展示,带红点,点击后红点消失;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两个入口均进入同一个盘口详情页,不做内容差异。</w:t>
      </w: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2.3 P2P 筛选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点击「P2P」胶囊进入选中态,数据区仅展示有庄单的比赛,无庄单的联赛整组隐藏（图2）;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再次点击取消筛选,恢复全部比赛。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三、盘口详情页（新增）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图3 盘口详情（全部）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图4 按「让球」筛选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入口:比赛卡片底部的「所有盘口」或「P2P」;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顶栏:返回、联赛名、刷新、收藏;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赛事横幅:主客队徽标与队名、赛事状态（未开赛 / 滚球中）、开赛时间、动画直播入口;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玩法 Tab:全部 / 让球 / 大小 / 进球 / 半场 / 特殊,切换后仅展示对应玩法分组;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盘口分组:按玩法分组展示（全场独赢、全场让球、全场大小、上半场各玩法、进球、特殊等）,每组可折叠;主客两列并排,列头为队名并带橙色竖条;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赔率格规则与赛事大厅一致:有更优 P2P 档位时展示最高 P2P 赔率并带红点（同样常驻,不因点击消失）;点击即选中并加入购物车,选中态为橙色底;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底部导航保持可见,可直接切换到其他一级页面。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四、购物车 — 买入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图5 已输入金额（购买计划）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图6 数字键盘展开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4.1 面板形态与入口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购物车为底部固定面板（约占屏高 58%）,不使用弹窗、不对赛事列表加蒙层;面板打开时赛事列表仍可滚动、赔率格仍可点击,选中新投注项实时加入购物车;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顶部:买入 / 卖出 Tab（串关模式下仅保留串关 Tab）、注单数、清除（清空全部注单）;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底部固定区:自动接受任何赔率开关与说明入口、余额;按钮行为「返回」「串关 / 单关」「投注 CNY 合计」,投注按钮内附最高可赢;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「返回」收起购物车回到赛事列表,已选注单保留。</w:t>
      </w: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4.2 投注卡片与赔率展示</w:t>
      </w:r>
    </w:p>
    <w:p>
      <w:pPr>
        <w:spacing w:after="70" w:before="50"/>
      </w:pP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卡片内容:投注项、赛事状态标签、玩法与盘口类型、赛事、联赛、赔率、金额输入框、档位表。卡片右上角赔率按三种情形展示: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3515"/>
        <w:gridCol w:w="4253"/>
      </w:tblGrid>
      <w:tr>
        <w:trPr>
          <w:tblHeader/>
        </w:trPr>
        <w:tc>
          <w:tcPr>
            <w:tcW w:type="dxa" w:w="3515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情形</w:t>
            </w:r>
          </w:p>
        </w:tc>
        <w:tc>
          <w:tcPr>
            <w:tcW w:type="dxa" w:w="4253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赔率展示</w:t>
            </w:r>
          </w:p>
        </w:tc>
      </w:tr>
      <w:tr>
        <w:tc>
          <w:tcPr>
            <w:tcW w:type="dxa" w:w="351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未开启自动接受任何赔率</w:t>
            </w:r>
          </w:p>
        </w:tc>
        <w:tc>
          <w:tcPr>
            <w:tcW w:type="dxa" w:w="425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展示最高赔率（含 P2P 档位）</w:t>
            </w:r>
          </w:p>
        </w:tc>
      </w:tr>
      <w:tr>
        <w:tc>
          <w:tcPr>
            <w:tcW w:type="dxa" w:w="3515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已开启 + 存在高于官方的档位 + 未输入金额</w:t>
            </w:r>
          </w:p>
        </w:tc>
        <w:tc>
          <w:tcPr>
            <w:tcW w:type="dxa" w:w="4253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展示区间【官方赔率~P2P 最高赔率】</w:t>
            </w:r>
          </w:p>
        </w:tc>
      </w:tr>
      <w:tr>
        <w:tc>
          <w:tcPr>
            <w:tcW w:type="dxa" w:w="351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已开启 + 已输入金额</w:t>
            </w:r>
          </w:p>
        </w:tc>
        <w:tc>
          <w:tcPr>
            <w:tcW w:type="dxa" w:w="425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展示按购买计划算出的加权平均赔率,公式见下</w:t>
            </w:r>
          </w:p>
        </w:tc>
      </w:tr>
    </w:tbl>
    <w:p>
      <w:pPr>
        <w:spacing w:after="60" w:before="0"/>
      </w:pPr>
    </w:p>
    <w:p>
      <w:pPr>
        <w:spacing w:after="70" w:before="50"/>
      </w:pPr>
      <w:r>
        <w:rPr>
          <w:rFonts w:ascii="微软雅黑" w:cs="微软雅黑" w:eastAsia="微软雅黑" w:hAnsi="微软雅黑"/>
          <w:b/>
          <w:bCs/>
          <w:color w:val="1A1A1A"/>
          <w:sz w:val="20"/>
          <w:szCs w:val="20"/>
        </w:rPr>
        <w:t xml:space="preserve">加权平均赔率计算公式:</w:t>
      </w:r>
    </w:p>
    <w:p>
      <w:pPr>
        <w:spacing w:after="70" w:before="50"/>
      </w:pP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加权平均赔率 =（档一成交金额 × 档一赔率 + 档二成交金额 × 档二赔率 + … + 官方档成交金额 × 官方赔率）÷ 输入金额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各档成交金额即「购买计划」列的数值:被完整吃满的档位等于该档可购额度,最后一个档位为剩余金额;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各档成交金额之和恒等于输入金额,因此分母直接取输入金额;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举例（图5）:档位为 卖一 @1.08 可购 195、卖二 @1.05 可购 952.38、卖三 @1.02 可购 8,888,输入 1,600。购买计划为 195 / 952.38 / 452.62,加权平均赔率 =（195×1.08 + 952.38×1.05 + 452.62×1.02）÷ 1,600 = 1,672.28 ÷ 1,600 ≈ @1.05,该值作为注单显示赔率。</w:t>
      </w: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4.3 档位表与购买计划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表头上方一行展示「官方赔率 @X」与「更优赔率可购额度总计 X CNY」（不低于官方赔率的档位可购额度合计）,右侧可展开 / 收起,默认展开;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表体四列:档位、卖出赔率、可购额度、购买计划;官方档位额度为「无限」,固定在最后一行;本人挂出的档位标注「我」;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展示不低于官方赔率的全部有效档位;卖家档位超过 3 档时区域内滚动查看,不整体展开;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购买计划列按当前模式实时分配输入金额:开启开关时自最高赔率档位向下依次分配（图5 中 1,600 分配为卖一 195 + 卖二 1,405）;未开启时仅分配到卖一档位;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多张卡片时仅第一张默认展开档位表,其余默认收起。</w:t>
      </w: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4.4 数字键盘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金额输入框为只读框,点击在其下方展开自定义键盘;框内右侧固定展示 CNY,占位为限额区间;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键位:数字 1-9、0、00、Max,右侧退格（跨两行）与收起键盘;不支持小数输入;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Max 填入当前可投上限;全局同时只展开一个键盘;键盘不被底部固定区遮挡;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购物车内仅 1 张卡片时键盘默认展开且不自动收起,多张卡片时默认收起。</w:t>
      </w:r>
    </w:p>
    <w:p>
      <w:pPr>
        <w:pageBreakBefore/>
      </w:pPr>
    </w:p>
    <w:p>
      <w:pPr>
        <w:pStyle w:val="Heading2"/>
        <w:pBdr>
          <w:bottom w:val="single" w:color="1B5EBE" w:sz="4" w:space="4"/>
        </w:pBdr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25"/>
          <w:szCs w:val="25"/>
        </w:rPr>
        <w:t xml:space="preserve">4.5 自动接受任何赔率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图7 规则说明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图8 卖一额度不足提示</w:t>
            </w:r>
          </w:p>
        </w:tc>
      </w:tr>
    </w:tbl>
    <w:p>
      <w:pPr>
        <w:spacing w:after="70" w:before="50"/>
      </w:pP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开关位于购物车底部固定区,与「我的 — 赔率偏好」同步,点击 ⓘ 弹出规则说明（图7）。两种模式规则:</w:t>
      </w:r>
    </w:p>
    <w:tbl>
      <w:tblPr>
        <w:tblW w:type="dxa" w:w="7767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3175"/>
        <w:gridCol w:w="1814"/>
        <w:gridCol w:w="1814"/>
      </w:tblGrid>
      <w:tr>
        <w:trPr>
          <w:tblHeader/>
        </w:trPr>
        <w:tc>
          <w:tcPr>
            <w:tcW w:type="dxa" w:w="964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175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成交规则</w:t>
            </w:r>
          </w:p>
        </w:tc>
        <w:tc>
          <w:tcPr>
            <w:tcW w:type="dxa" w:w="1814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可投上限</w:t>
            </w:r>
          </w:p>
        </w:tc>
        <w:tc>
          <w:tcPr>
            <w:tcW w:type="dxa" w:w="1814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失败处理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开启</w:t>
            </w:r>
          </w:p>
        </w:tc>
        <w:tc>
          <w:tcPr>
            <w:tcW w:type="dxa" w:w="317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接受不低于官方赔率的所有 P2P 赔率;按最高 P2P 赔率向下依次购买,最低为官方赔率;购买多个档位时加权计算平均赔率作为注单显示赔率</w:t>
            </w:r>
          </w:p>
        </w:tc>
        <w:tc>
          <w:tcPr>
            <w:tcW w:type="dxa" w:w="181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不低于官方赔率的可购额度合计与系统限额中的较小值</w:t>
            </w:r>
          </w:p>
        </w:tc>
        <w:tc>
          <w:tcPr>
            <w:tcW w:type="dxa" w:w="181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赔率升高或降低均按即时赔率成交;超出系统购买上限时弹提示</w:t>
            </w:r>
          </w:p>
        </w:tc>
      </w:tr>
      <w:tr>
        <w:tc>
          <w:tcPr>
            <w:tcW w:type="dxa" w:w="96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未开启</w:t>
            </w:r>
          </w:p>
        </w:tc>
        <w:tc>
          <w:tcPr>
            <w:tcW w:type="dxa" w:w="3175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只接受不低于当前所见赔率的 P2P 档位,不购买低于所见赔率的档位（即按卖一档位赔率成交）</w:t>
            </w:r>
          </w:p>
        </w:tc>
        <w:tc>
          <w:tcPr>
            <w:tcW w:type="dxa" w:w="181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卖一档位的可购额度</w:t>
            </w:r>
          </w:p>
        </w:tc>
        <w:tc>
          <w:tcPr>
            <w:tcW w:type="dxa" w:w="181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金额超出时弹「温馨提示」（图8）;赔率下降时投注失败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温馨提示提供「重新输入」与「开启并买入」;选择后者即开启开关并立即按依序吃单完成本次投注,不需重新输入金额;</w:t>
      </w:r>
    </w:p>
    <w:p>
      <w:pPr>
        <w:spacing w:after="50" w:before="0"/>
      </w:pPr>
    </w:p>
    <w:p>
      <w:pPr>
        <w:spacing w:after="70" w:before="50"/>
      </w:pPr>
      <w:r>
        <w:rPr>
          <w:rFonts w:ascii="微软雅黑" w:cs="微软雅黑" w:eastAsia="微软雅黑" w:hAnsi="微软雅黑"/>
          <w:b/>
          <w:bCs/>
          <w:color w:val="1A1A1A"/>
          <w:sz w:val="20"/>
          <w:szCs w:val="20"/>
        </w:rPr>
        <w:t xml:space="preserve">金额输入框的限额上限: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361"/>
        <w:gridCol w:w="4082"/>
        <w:gridCol w:w="2325"/>
      </w:tblGrid>
      <w:tr>
        <w:trPr>
          <w:tblHeader/>
        </w:trPr>
        <w:tc>
          <w:tcPr>
            <w:tcW w:type="dxa" w:w="136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开关状态</w:t>
            </w:r>
          </w:p>
        </w:tc>
        <w:tc>
          <w:tcPr>
            <w:tcW w:type="dxa" w:w="4082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限额上限取值</w:t>
            </w:r>
          </w:p>
        </w:tc>
        <w:tc>
          <w:tcPr>
            <w:tcW w:type="dxa" w:w="2325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占位文案示例</w:t>
            </w:r>
          </w:p>
        </w:tc>
      </w:tr>
      <w:tr>
        <w:tc>
          <w:tcPr>
            <w:tcW w:type="dxa" w:w="136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未开启</w:t>
            </w:r>
          </w:p>
        </w:tc>
        <w:tc>
          <w:tcPr>
            <w:tcW w:type="dxa" w:w="408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三方返回的玩法限额上限与卖一档位可购额度取较小值</w:t>
            </w:r>
          </w:p>
        </w:tc>
        <w:tc>
          <w:tcPr>
            <w:tcW w:type="dxa" w:w="232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限额 2.00-195.00</w:t>
            </w:r>
          </w:p>
        </w:tc>
      </w:tr>
      <w:tr>
        <w:tc>
          <w:tcPr>
            <w:tcW w:type="dxa" w:w="136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已开启</w:t>
            </w:r>
          </w:p>
        </w:tc>
        <w:tc>
          <w:tcPr>
            <w:tcW w:type="dxa" w:w="4082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三方返回的玩法限额上限</w:t>
            </w:r>
          </w:p>
        </w:tc>
        <w:tc>
          <w:tcPr>
            <w:tcW w:type="dxa" w:w="2325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限额 2.00-10,100.00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限额下限恒为三方返回的最小单注限额;Max 键填入当前上限;开关切换后占位文案与 Max 取值同步刷新。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五、购物车 — 串关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图9 买入（多单 + 单关批量行）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图10 串关模式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单关批量行:买入页卡片下方展示「单关 N×」与一个金额输入框,输入后统一设置全部单关注单金额（图9）;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串关入口:底部圆形「串关」按钮,注单数大于 1 时点亮（黄底橙字）,否则置灰;点击切换到串关模式;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串关模式下顶部 Tab 仅保留「串关」,底部按钮变为点亮的「单关」,点击可切回买入;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串关不支持庄家单赔率,全部投注项按官方欧洲盘赔率计算;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过关方式逐行展示,每行含平均赔率、注数与独立的每注金额输入框: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588"/>
        <w:gridCol w:w="4139"/>
      </w:tblGrid>
      <w:tr>
        <w:trPr>
          <w:tblHeader/>
        </w:trPr>
        <w:tc>
          <w:tcPr>
            <w:tcW w:type="dxa" w:w="204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过关方式</w:t>
            </w:r>
          </w:p>
        </w:tc>
        <w:tc>
          <w:tcPr>
            <w:tcW w:type="dxa" w:w="1588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注数</w:t>
            </w:r>
          </w:p>
        </w:tc>
        <w:tc>
          <w:tcPr>
            <w:tcW w:type="dxa" w:w="4139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4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N串1（2串1 … N串1）</w:t>
            </w:r>
          </w:p>
        </w:tc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C(N, M)</w:t>
            </w:r>
          </w:p>
        </w:tc>
        <w:tc>
          <w:tcPr>
            <w:tcW w:type="dxa" w:w="413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从 N 场中任取 M 场组合,逐组合独立成注</w:t>
            </w:r>
          </w:p>
        </w:tc>
      </w:tr>
      <w:tr>
        <w:tc>
          <w:tcPr>
            <w:tcW w:type="dxa" w:w="204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混合过关 N串M式</w:t>
            </w:r>
          </w:p>
        </w:tc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M = 全部组合数合计</w:t>
            </w:r>
          </w:p>
        </w:tc>
        <w:tc>
          <w:tcPr>
            <w:tcW w:type="dxa" w:w="4139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2串1 至 N串1 的全部组合合并下注,所选投注项不少于 3 场时展示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每行合计 = 每注金额 × 该行注数;底部汇总全部行合计与最高可赢;多行可同时填写并一次提交,按行分别生成注单;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删除投注项至仅剩 1 个注单时自动切回买入 Tab,顶部 Tab 恢复为买入 / 卖出,串关按钮置灰;删除方式包括购物车内删除与在赛事列表取消选中,两者行为一致。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六、购物车 — 卖出</w:t>
      </w:r>
    </w:p>
    <w:p>
      <w:pPr>
        <w:spacing w:after="20" w:before="80"/>
        <w:jc w:val="center"/>
      </w:pPr>
      <w:r>
        <w:drawing>
          <wp:inline distT="0" distB="0" distL="0" distR="0">
            <wp:extent cx="18097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图11 卖出（已填押金与上浮点位）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与买入同面板切换,顶部「卖出」Tab 进入;卡片内容与买入一致,并展示该投注项当前档位表,便于对照定价;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卖出参数:押金金额、上浮点位（步进控件,可为负）;卖出赔率 = 官方赔率 + 上浮点位,只读展示;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预计可卖额度 = 押金 ÷ 卖出赔率（港盘）,实时计算并展示公式;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底部展示卖出结算规则入口与合计押金;按钮行为「返回」与「确认卖出」,返回收起面板回到赛事列表;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顶部提供「我的卖出」入口,可跳转卖单页查看全部挂单。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七、注单确认</w:t>
      </w:r>
    </w:p>
    <w:tbl>
      <w:tblPr>
        <w:tblW w:type="dxa" w:w="79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图12 注单确认中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28750" cy="3000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微软雅黑" w:cs="微软雅黑" w:eastAsia="微软雅黑" w:hAnsi="微软雅黑"/>
                <w:i/>
                <w:iCs/>
                <w:color w:val="666666"/>
                <w:sz w:val="18"/>
                <w:szCs w:val="18"/>
              </w:rPr>
              <w:t xml:space="preserve">图13 注单已确认</w:t>
            </w:r>
          </w:p>
        </w:tc>
      </w:tr>
    </w:tbl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021"/>
        <w:gridCol w:w="4309"/>
        <w:gridCol w:w="2438"/>
      </w:tblGrid>
      <w:tr>
        <w:trPr>
          <w:tblHeader/>
        </w:trPr>
        <w:tc>
          <w:tcPr>
            <w:tcW w:type="dxa" w:w="102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309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展示</w:t>
            </w:r>
          </w:p>
        </w:tc>
        <w:tc>
          <w:tcPr>
            <w:tcW w:type="dxa" w:w="2438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0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确认中</w:t>
            </w:r>
          </w:p>
        </w:tc>
        <w:tc>
          <w:tcPr>
            <w:tcW w:type="dxa" w:w="430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状态标识「注单确认中」+ 注单明细（投注项、状态标签、玩法与盘口、赛事、联赛、赔率）+ 投注金额;可赢金额 0.00,注单号与投注状态为「—」</w:t>
            </w:r>
          </w:p>
        </w:tc>
        <w:tc>
          <w:tcPr>
            <w:tcW w:type="dxa" w:w="243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保留注单继续投注 / 返回赛事</w:t>
            </w:r>
          </w:p>
        </w:tc>
      </w:tr>
      <w:tr>
        <w:tc>
          <w:tcPr>
            <w:tcW w:type="dxa" w:w="102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已确认</w:t>
            </w:r>
          </w:p>
        </w:tc>
        <w:tc>
          <w:tcPr>
            <w:tcW w:type="dxa" w:w="4309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状态标识「注单已确认」;回填可赢金额、注单号（可复制）与投注状态</w:t>
            </w:r>
          </w:p>
        </w:tc>
        <w:tc>
          <w:tcPr>
            <w:tcW w:type="dxa" w:w="243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保留注单继续投注 / 返回赛事</w:t>
            </w:r>
          </w:p>
        </w:tc>
      </w:tr>
    </w:tbl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「保留注单,继续投注」关闭浮层但保留购物车内容,便于连续投注;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确认完成前点击「返回赛事」,在赛事列表 toast 提示「注单确认中,您可前往【买单】查看注单状态!」;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注单在提交时即写入「买单 — 未结算」,状态随确认结果更新;串关一次提交多行时各行注单分别确认。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八、配置项与输入约束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1928"/>
        <w:gridCol w:w="4026"/>
      </w:tblGrid>
      <w:tr>
        <w:trPr>
          <w:tblHeader/>
        </w:trPr>
        <w:tc>
          <w:tcPr>
            <w:tcW w:type="dxa" w:w="1814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928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取值</w:t>
            </w:r>
          </w:p>
        </w:tc>
        <w:tc>
          <w:tcPr>
            <w:tcW w:type="dxa" w:w="4026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1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自动接受任何赔率</w:t>
            </w:r>
          </w:p>
        </w:tc>
        <w:tc>
          <w:tcPr>
            <w:tcW w:type="dxa" w:w="192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开 / 关,默认关</w:t>
            </w:r>
          </w:p>
        </w:tc>
        <w:tc>
          <w:tcPr>
            <w:tcW w:type="dxa" w:w="40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会员级偏好,购物车与「我的 — 赔率偏好」同步</w:t>
            </w:r>
          </w:p>
        </w:tc>
      </w:tr>
      <w:tr>
        <w:tc>
          <w:tcPr>
            <w:tcW w:type="dxa" w:w="181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玩法单注限额</w:t>
            </w:r>
          </w:p>
        </w:tc>
        <w:tc>
          <w:tcPr>
            <w:tcW w:type="dxa" w:w="192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沿用现行风控配置</w:t>
            </w:r>
          </w:p>
        </w:tc>
        <w:tc>
          <w:tcPr>
            <w:tcW w:type="dxa" w:w="4026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决定金额输入框限额区间与 Max 取值（原型演示 2 ~ 10,100）</w:t>
            </w:r>
          </w:p>
        </w:tc>
      </w:tr>
      <w:tr>
        <w:tc>
          <w:tcPr>
            <w:tcW w:type="dxa" w:w="181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串关限额</w:t>
            </w:r>
          </w:p>
        </w:tc>
        <w:tc>
          <w:tcPr>
            <w:tcW w:type="dxa" w:w="192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沿用现行风控配置</w:t>
            </w:r>
          </w:p>
        </w:tc>
        <w:tc>
          <w:tcPr>
            <w:tcW w:type="dxa" w:w="40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串关每注金额上下限</w:t>
            </w:r>
          </w:p>
        </w:tc>
      </w:tr>
      <w:tr>
        <w:tc>
          <w:tcPr>
            <w:tcW w:type="dxa" w:w="181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卖出押金限额</w:t>
            </w:r>
          </w:p>
        </w:tc>
        <w:tc>
          <w:tcPr>
            <w:tcW w:type="dxa" w:w="192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沿用现行风控配置</w:t>
            </w:r>
          </w:p>
        </w:tc>
        <w:tc>
          <w:tcPr>
            <w:tcW w:type="dxa" w:w="4026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卖出押金上下限</w:t>
            </w:r>
          </w:p>
        </w:tc>
      </w:tr>
    </w:tbl>
    <w:p>
      <w:pPr>
        <w:spacing w:after="60" w:before="0"/>
      </w:pPr>
    </w:p>
    <w:tbl>
      <w:tblPr>
        <w:tblW w:type="dxa" w:w="7371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155"/>
        <w:gridCol w:w="2381"/>
        <w:gridCol w:w="1134"/>
      </w:tblGrid>
      <w:tr>
        <w:trPr>
          <w:tblHeader/>
        </w:trPr>
        <w:tc>
          <w:tcPr>
            <w:tcW w:type="dxa" w:w="170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输入框</w:t>
            </w:r>
          </w:p>
        </w:tc>
        <w:tc>
          <w:tcPr>
            <w:tcW w:type="dxa" w:w="2155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输入类型</w:t>
            </w:r>
          </w:p>
        </w:tc>
        <w:tc>
          <w:tcPr>
            <w:tcW w:type="dxa" w:w="238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1134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70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单关投注金额</w:t>
            </w:r>
          </w:p>
        </w:tc>
        <w:tc>
          <w:tcPr>
            <w:tcW w:type="dxa" w:w="215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正整数,不支持小数</w:t>
            </w:r>
          </w:p>
        </w:tc>
        <w:tc>
          <w:tcPr>
            <w:tcW w:type="dxa" w:w="238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下限为三方最小限额;上限见 4.5,最长 9 位</w:t>
            </w:r>
          </w:p>
        </w:tc>
        <w:tc>
          <w:tcPr>
            <w:tcW w:type="dxa" w:w="11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70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串关每注金额</w:t>
            </w:r>
          </w:p>
        </w:tc>
        <w:tc>
          <w:tcPr>
            <w:tcW w:type="dxa" w:w="2155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正整数,不支持小数</w:t>
            </w:r>
          </w:p>
        </w:tc>
        <w:tc>
          <w:tcPr>
            <w:tcW w:type="dxa" w:w="238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按串关限额,最长 9 位</w:t>
            </w:r>
          </w:p>
        </w:tc>
        <w:tc>
          <w:tcPr>
            <w:tcW w:type="dxa" w:w="113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70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单关批量金额</w:t>
            </w:r>
          </w:p>
        </w:tc>
        <w:tc>
          <w:tcPr>
            <w:tcW w:type="dxa" w:w="215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正整数,不支持小数</w:t>
            </w:r>
          </w:p>
        </w:tc>
        <w:tc>
          <w:tcPr>
            <w:tcW w:type="dxa" w:w="238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按玩法限额</w:t>
            </w:r>
          </w:p>
        </w:tc>
        <w:tc>
          <w:tcPr>
            <w:tcW w:type="dxa" w:w="11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70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卖出押金</w:t>
            </w:r>
          </w:p>
        </w:tc>
        <w:tc>
          <w:tcPr>
            <w:tcW w:type="dxa" w:w="2155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正数,最多两位小数</w:t>
            </w:r>
          </w:p>
        </w:tc>
        <w:tc>
          <w:tcPr>
            <w:tcW w:type="dxa" w:w="238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按风控限额</w:t>
            </w:r>
          </w:p>
        </w:tc>
        <w:tc>
          <w:tcPr>
            <w:tcW w:type="dxa" w:w="1134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70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上浮点位</w:t>
            </w:r>
          </w:p>
        </w:tc>
        <w:tc>
          <w:tcPr>
            <w:tcW w:type="dxa" w:w="2155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数字,最多两位小数,可为负</w:t>
            </w:r>
          </w:p>
        </w:tc>
        <w:tc>
          <w:tcPr>
            <w:tcW w:type="dxa" w:w="238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结果赔率须大于 0</w:t>
            </w:r>
          </w:p>
        </w:tc>
        <w:tc>
          <w:tcPr>
            <w:tcW w:type="dxa" w:w="11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0.01</w:t>
            </w:r>
          </w:p>
        </w:tc>
      </w:tr>
    </w:tbl>
    <w:p>
      <w:pPr>
        <w:spacing w:after="70" w:before="50"/>
      </w:pP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对齐规则:金额与赔率靠右对齐,文本靠左对齐。</w:t>
      </w: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九、默认排序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5387"/>
      </w:tblGrid>
      <w:tr>
        <w:trPr>
          <w:tblHeader/>
        </w:trPr>
        <w:tc>
          <w:tcPr>
            <w:tcW w:type="dxa" w:w="2381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列表</w:t>
            </w:r>
          </w:p>
        </w:tc>
        <w:tc>
          <w:tcPr>
            <w:tcW w:type="dxa" w:w="5387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默认排序</w:t>
            </w:r>
          </w:p>
        </w:tc>
      </w:tr>
      <w:tr>
        <w:tc>
          <w:tcPr>
            <w:tcW w:type="dxa" w:w="238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档位表</w:t>
            </w:r>
          </w:p>
        </w:tc>
        <w:tc>
          <w:tcPr>
            <w:tcW w:type="dxa" w:w="538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赔率降序;同赔率按挂出时间升序;官方档位固定最后</w:t>
            </w:r>
          </w:p>
        </w:tc>
      </w:tr>
      <w:tr>
        <w:tc>
          <w:tcPr>
            <w:tcW w:type="dxa" w:w="238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购物车投注卡片</w:t>
            </w:r>
          </w:p>
        </w:tc>
        <w:tc>
          <w:tcPr>
            <w:tcW w:type="dxa" w:w="5387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按选中时间升序</w:t>
            </w:r>
          </w:p>
        </w:tc>
      </w:tr>
      <w:tr>
        <w:tc>
          <w:tcPr>
            <w:tcW w:type="dxa" w:w="238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串关过关方式</w:t>
            </w:r>
          </w:p>
        </w:tc>
        <w:tc>
          <w:tcPr>
            <w:tcW w:type="dxa" w:w="538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2串1 → … → N串1 → 混合过关</w:t>
            </w:r>
          </w:p>
        </w:tc>
      </w:tr>
      <w:tr>
        <w:tc>
          <w:tcPr>
            <w:tcW w:type="dxa" w:w="2381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盘口详情分组</w:t>
            </w:r>
          </w:p>
        </w:tc>
        <w:tc>
          <w:tcPr>
            <w:tcW w:type="dxa" w:w="5387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全场玩法 → 上半场玩法 → 进球 → 特殊</w:t>
            </w:r>
          </w:p>
        </w:tc>
      </w:tr>
    </w:tbl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十、边界场景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同一投注项反复选中取消:红点保持展示,不因交互清除;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选中后官方赔率变动:赛事大厅与购物车赔率实时刷新,已输入金额保留;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选中后全部 P2P 档位售罄:赔率格回落为官方赔率、红点消失,卡片档位表仅剩官方档位;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多卡片切换键盘:展开新键盘时其他键盘自动收起,已输入金额不丢失;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串关模式下删除至仅剩一场:自动切回买入,串关各行金额清空;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购物车打开期间取消选中:卡片同步移除,合计与最高可赢实时重算;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确认浮层未关闭时继续投注:允许,新注单独立确认;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余额不足或超出限额:提交时拦截并提示,不生成注单。</w:t>
      </w: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十一、本期不做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金额输入支持小数;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一键全额、跟单、复制注单等快捷下单方式;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串关包含 P2P 庄家赔率（沿用既有约束,按官方欧洲盘计算）;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提前结算与注单撤销;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购物车跨设备同步与草稿保存;</w:t>
      </w:r>
    </w:p>
    <w:p>
      <w:pPr>
        <w:spacing w:after="35" w:before="35"/>
        <w:ind w:left="312" w:hanging="170"/>
      </w:pPr>
      <w:r>
        <w:rPr>
          <w:rFonts w:ascii="微软雅黑" w:cs="微软雅黑" w:eastAsia="微软雅黑" w:hAnsi="微软雅黑"/>
          <w:b/>
          <w:bCs/>
          <w:color w:val="1B5EBE"/>
          <w:sz w:val="20"/>
          <w:szCs w:val="20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开盘坐庄（私盘）相关的下注入口,随下一期建设。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B5EBE"/>
          <w:sz w:val="32"/>
          <w:szCs w:val="32"/>
        </w:rPr>
        <w:t xml:space="preserve">十二、验收标准（Given / When / Then）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588"/>
        <w:gridCol w:w="6180"/>
      </w:tblGrid>
      <w:tr>
        <w:trPr>
          <w:tblHeader/>
        </w:trPr>
        <w:tc>
          <w:tcPr>
            <w:tcW w:type="dxa" w:w="1588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180"/>
            <w:shd w:fill="1B5E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赔率格展示最高 P2P 赔率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某投注项存在高于官方赔率的 P2P 档位;When 浏览赛事大厅;Then 该赔率格展示最高 P2P 赔率并显示红点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红点常驻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赔率格显示红点;When 点击该赔率格选中或取消;Then 红点仍然展示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红点消失条件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某投注项的全部高于官方赔率的 P2P 档位被买空或下架;When 刷新赛事大厅;Then 该赔率格红点消失,赔率回落为官方赔率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联赛标签数据驱动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某联赛内所有比赛均无庄单;When 浏览赛事大厅;Then 该联赛头不展示 P2P 标签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P2P 筛选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点击「P2P」胶囊;When 进入选中态;Then 仅展示有庄单的比赛,无庄单联赛整组隐藏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两个入口一致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某场比赛有庄单;When 分别点击「所有盘口」与「P2P」入口;Then 进入同一盘口详情页,内容一致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盘口详情下单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在盘口详情页;When 点击任一赔率格;Then 该格呈选中态并加入购物车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面板不遮挡列表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购物车已打开;When 点击赛事列表中的赔率格;Then 该投注项实时加入购物车,面板保持打开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档位表全量与滚动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某投注项有 5 个不低于官方赔率的档位;When 展开档位表;Then 全部档位可查看,卖家档位区域内滚动,官方档位固定最后一行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购买计划分配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开启开关且档位为 @1.08/¥195、@1.05/¥952.38;When 输入 1,600;Then 购买计划显示 195 与 1,405,卡片赔率显示加权平均赔率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未开启超额提示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未开启开关且卖一可购 ¥195;When 输入 5,000 并提交;Then 弹温馨提示,提供「重新输入」与「开启并买入」,不生成注单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开启并买入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已弹出温馨提示;When 点击「开启并买入」;Then 开关置为开启并立即按依序吃单完成本次投注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单注默认展开键盘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购物车内仅 1 张卡片;When 打开购物车;Then 键盘默认展开且不自动收起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串关按注单数激活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仅 1 个注单;When 查看底部;Then 串关按钮置灰;新增 1 个注单后按钮点亮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串关模式 Tab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点击「串关」;When 进入串关模式;Then 顶部仅保留「串关」Tab,底部「单关」按钮点亮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混合过关展示条件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所选投注项为 2 场;When 进入串关;Then 不展示混合过关行;选至 3 场后展示 3串4式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串关多行同时下单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选中 3 场投注项;When 2串1 每注 100、混合过关每注 50 并提交;Then 合计 500,分别生成 2 笔注单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加权平均赔率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开启开关,档位为 @1.08/195、@1.05/952.38、@1.02/8,888;When 输入 1,600;Then 购买计划为 195 / 952.38 / 452.62,卡片赔率显示 @1.05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限额上限（未开启）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未开启开关且卖一可购额度 195,三方限额上限 10,100;When 查看金额输入框;Then 占位显示「限额 2.00-195.00」,Max 键填入 195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限额上限（已开启）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已开启开关;When 查看金额输入框;Then 占位显示「限额 2.00-10,100.00」,Max 键填入 10,100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删至一单切回买入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处于串关模式且有 2 个注单;When 删除其中 1 个;Then 自动切回买入 Tab,串关按钮置灰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卖出参数计算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卖出页输入押金 1,000、上浮点位 0.06,官方赔率 0.99;Then 卖出赔率显示 @1.05,预计可卖额度显示 952.38 CNY</w:t>
            </w:r>
          </w:p>
        </w:tc>
      </w:tr>
      <w:tr>
        <w:tc>
          <w:tcPr>
            <w:tcW w:type="dxa" w:w="15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注单确认两态</w:t>
            </w:r>
          </w:p>
        </w:tc>
        <w:tc>
          <w:tcPr>
            <w:tcW w:type="dxa" w:w="61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提交投注;When 浮层弹出;Then 先展示「注单确认中」（可赢 0.00、注单号 —）,确认后就地切换为「注单已确认」并回填可赢金额与注单号</w:t>
            </w:r>
          </w:p>
        </w:tc>
      </w:tr>
      <w:tr>
        <w:tc>
          <w:tcPr>
            <w:tcW w:type="dxa" w:w="1588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确认中返回赛事</w:t>
            </w:r>
          </w:p>
        </w:tc>
        <w:tc>
          <w:tcPr>
            <w:tcW w:type="dxa" w:w="6180"/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8"/>
                <w:szCs w:val="18"/>
              </w:rPr>
              <w:t xml:space="preserve">Given 注单尚未确认;When 点击「返回赛事」;Then 关闭浮层并 toast 提示「注单确认中,您可前往【买单】查看注单状态!」</w:t>
            </w:r>
          </w:p>
        </w:tc>
      </w:tr>
    </w:tbl>
    <w:p>
      <w:pPr>
        <w:spacing w:after="180" w:before="0"/>
      </w:pPr>
    </w:p>
    <w:p>
      <w:pPr>
        <w:spacing w:before="280"/>
        <w:jc w:val="center"/>
      </w:pP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247" w:right="1247" w:bottom="1247" w:left="14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/>
      </w:pBdr>
      <w:jc w:val="center"/>
    </w:pPr>
    <w:r>
      <w:rPr>
        <w:rFonts w:ascii="微软雅黑" w:cs="微软雅黑" w:eastAsia="微软雅黑" w:hAnsi="微软雅黑"/>
        <w:color w:val="666666"/>
        <w:sz w:val="17"/>
        <w:szCs w:val="17"/>
      </w:rPr>
      <w:t xml:space="preserve">第 </w:t>
    </w:r>
    <w:r>
      <w:rPr>
        <w:rFonts w:ascii="微软雅黑" w:cs="微软雅黑" w:eastAsia="微软雅黑" w:hAnsi="微软雅黑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/>
      </w:pBdr>
    </w:pPr>
    <w:r>
      <w:rPr>
        <w:rFonts w:ascii="微软雅黑" w:cs="微软雅黑" w:eastAsia="微软雅黑" w:hAnsi="微软雅黑"/>
        <w:color w:val="666666"/>
        <w:sz w:val="17"/>
        <w:szCs w:val="17"/>
      </w:rPr>
      <w:t xml:space="preserve">KingKong 体育 · P2P 下注流程需求说明文档（图文版）V2.0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7ad38a9b4fd3354d5110e929554579bdf4e42d.png"/><Relationship Id="rId10" Type="http://schemas.openxmlformats.org/officeDocument/2006/relationships/image" Target="media/6ae0d5142c44604faf467d4d75650c3bdab410ca.png"/><Relationship Id="rId11" Type="http://schemas.openxmlformats.org/officeDocument/2006/relationships/image" Target="media/4adbb726d9a8f1e9f4b006d37270372b96c9176f.png"/><Relationship Id="rId12" Type="http://schemas.openxmlformats.org/officeDocument/2006/relationships/image" Target="media/2a7d641601cf64431996ca37ddb52fe349b2bc9b.png"/><Relationship Id="rId13" Type="http://schemas.openxmlformats.org/officeDocument/2006/relationships/image" Target="media/c115f858c0b9d6e9a9e1170eb1f96980116b6e15.png"/><Relationship Id="rId14" Type="http://schemas.openxmlformats.org/officeDocument/2006/relationships/image" Target="media/ff43619b19576b3dedacbd7575645eeb1400d98b.png"/><Relationship Id="rId15" Type="http://schemas.openxmlformats.org/officeDocument/2006/relationships/image" Target="media/7e6e26e6b265f54605274aa305c52b788034a031.png"/><Relationship Id="rId16" Type="http://schemas.openxmlformats.org/officeDocument/2006/relationships/image" Target="media/3590ef16b3b6dc5a835ed0242f15f4fe1d9cd8a0.png"/><Relationship Id="rId17" Type="http://schemas.openxmlformats.org/officeDocument/2006/relationships/image" Target="media/d81b29d458ac6d77b150170ac5c0fc494401e09d.png"/><Relationship Id="rId18" Type="http://schemas.openxmlformats.org/officeDocument/2006/relationships/image" Target="media/3785e637c6c7db0fd567d60ed0d6606d2277041e.png"/><Relationship Id="rId19" Type="http://schemas.openxmlformats.org/officeDocument/2006/relationships/image" Target="media/0f939537211a0a6196d2c4ec43305b6407c7098c.png"/><Relationship Id="rId20" Type="http://schemas.openxmlformats.org/officeDocument/2006/relationships/image" Target="media/dcec96f42c85d95b10f2efb29e0d89a9f80cc054.png"/><Relationship Id="rId21" Type="http://schemas.openxmlformats.org/officeDocument/2006/relationships/image" Target="media/9baa7130d6ee59237382755e8f00447d91a7f3e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2026-07-31T09:02:43.360Z</dcterms:created>
  <dcterms:modified xsi:type="dcterms:W3CDTF">2026-07-31T09:02:43.366Z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