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before="0"/>
      </w:pPr>
    </w:p>
    <w:p>
      <w:pPr>
        <w:spacing w:after="200"/>
        <w:jc w:val="center"/>
      </w:pPr>
      <w:r>
        <w:rPr>
          <w:rFonts w:ascii="微软雅黑" w:cs="微软雅黑" w:eastAsia="微软雅黑" w:hAnsi="微软雅黑"/>
          <w:b/>
          <w:bCs/>
          <w:color w:val="1B5EBE"/>
          <w:sz w:val="52"/>
          <w:szCs w:val="52"/>
        </w:rPr>
        <w:t xml:space="preserve">KingKong 体育</w:t>
      </w:r>
    </w:p>
    <w:p>
      <w:pPr>
        <w:spacing w:after="300"/>
        <w:jc w:val="center"/>
      </w:pPr>
      <w:r>
        <w:rPr>
          <w:rFonts w:ascii="微软雅黑" w:cs="微软雅黑" w:eastAsia="微软雅黑" w:hAnsi="微软雅黑"/>
          <w:b/>
          <w:bCs/>
          <w:color w:val="1A1A1A"/>
          <w:sz w:val="38"/>
          <w:szCs w:val="38"/>
        </w:rPr>
        <w:t xml:space="preserve">P2P 挂单分享功能需求说明文档</w:t>
      </w:r>
    </w:p>
    <w:p>
      <w:pPr>
        <w:spacing w:after="120"/>
        <w:jc w:val="center"/>
      </w:pPr>
      <w:r>
        <w:rPr>
          <w:rFonts w:ascii="微软雅黑" w:cs="微软雅黑" w:eastAsia="微软雅黑" w:hAnsi="微软雅黑"/>
          <w:color w:val="666666"/>
          <w:sz w:val="22"/>
          <w:szCs w:val="22"/>
        </w:rPr>
        <w:t xml:space="preserve">版本 V1.1(需求确认版) · 2026-07 · 产品:Ali</w:t>
      </w:r>
    </w:p>
    <w:p>
      <w:pPr>
        <w:spacing w:after="120"/>
        <w:jc w:val="center"/>
      </w:pPr>
      <w:r>
        <w:rPr>
          <w:rFonts w:ascii="微软雅黑" w:cs="微软雅黑" w:eastAsia="微软雅黑" w:hAnsi="微软雅黑"/>
          <w:color w:val="666666"/>
          <w:sz w:val="22"/>
          <w:szCs w:val="22"/>
        </w:rPr>
        <w:t xml:space="preserve">配套原型:C 端 H5 v4.0(分享入口 / 分享内容页 / 落地行为)</w:t>
      </w:r>
    </w:p>
    <w:p>
      <w:pPr>
        <w:pageBreakBefore/>
      </w:pPr>
    </w:p>
    <w:p>
      <w:pPr>
        <w:pStyle w:val="Heading1"/>
        <w:spacing w:after="120" w:before="320"/>
      </w:pPr>
      <w:r>
        <w:rPr>
          <w:rFonts w:ascii="微软雅黑" w:cs="微软雅黑" w:eastAsia="微软雅黑" w:hAnsi="微软雅黑"/>
          <w:b/>
          <w:bCs/>
          <w:color w:val="1B5EBE"/>
          <w:sz w:val="34"/>
          <w:szCs w:val="34"/>
        </w:rPr>
        <w:t xml:space="preserve">一、背景</w:t>
      </w:r>
    </w:p>
    <w:p>
      <w:pPr>
        <w:spacing w:after="80" w:before="60"/>
      </w:pPr>
      <w:r>
        <w:rPr>
          <w:rFonts w:ascii="微软雅黑" w:cs="微软雅黑" w:eastAsia="微软雅黑" w:hAnsi="微软雅黑"/>
          <w:color w:val="1A1A1A"/>
          <w:sz w:val="21"/>
          <w:szCs w:val="21"/>
        </w:rPr>
        <w:t xml:space="preserve">P2P 开盘坐庄上线后,庄家挂单的曝光完全依赖买家主动进入体育站内浏览赛事列表或卖单簿。这带来两个问题:</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庄家侧:挂单缺少主动获客手段。庄家开盘后只能等待站内自然流量,冷启动期成交慢,押金长期占用而无收单,降低继续开盘的意愿;</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平台侧:P2P 内容无法向站外社交场景(金刚 App 会话、Telegram 群组)扩散,损失了体育最具社交属性的内容形态与拉新入口。</w:t>
      </w:r>
    </w:p>
    <w:p>
      <w:pPr>
        <w:spacing w:after="80" w:before="60"/>
      </w:pPr>
      <w:r>
        <w:rPr>
          <w:rFonts w:ascii="微软雅黑" w:cs="微软雅黑" w:eastAsia="微软雅黑" w:hAnsi="微软雅黑"/>
          <w:color w:val="1A1A1A"/>
          <w:sz w:val="21"/>
          <w:szCs w:val="21"/>
        </w:rPr>
        <w:t xml:space="preserve">本期建设 P2P 挂单分享能力,分享对象为单个投注项庄单(即会员对某一投注项挂出的 P2P 挂单):庄家挂单后可生成一个公开可访问、携带订单 ID 的分享链接,分享至金刚会话或 Telegram;金刚侧以 webview 消息体渲染该链接内容,展示产品 LOGO、赛事、玩法、投注项与挂单状态;接收方点击 webview 后唤起体育,由体育根据链接中的订单状态与参数决定落地行为——有效则直达投注,失效则提示并引导浏览其他挂单。不解决的影响:P2P 流动性只能依靠站内自然流量,庄家收单效率与买家触达率均受限。本期不涉及私盘(复制比赛)形态与调水能力,二者随开盘坐庄需求在下一期建设,届时分享能力可直接复用本期链路。</w:t>
      </w:r>
    </w:p>
    <w:p>
      <w:pPr>
        <w:pStyle w:val="Heading1"/>
        <w:spacing w:after="120" w:before="320"/>
      </w:pPr>
      <w:r>
        <w:rPr>
          <w:rFonts w:ascii="微软雅黑" w:cs="微软雅黑" w:eastAsia="微软雅黑" w:hAnsi="微软雅黑"/>
          <w:b/>
          <w:bCs/>
          <w:color w:val="1B5EBE"/>
          <w:sz w:val="34"/>
          <w:szCs w:val="34"/>
        </w:rPr>
        <w:t xml:space="preserve">二、目标</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庄家可对自己的任一 P2P 挂单生成公开分享链接,并分享到金刚会话或 Telegram;</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分享内容在金刚 webview 中呈现关键信息(LOGO、赛事、玩法、投注项、庄单赔率、庄家、挂单状态),无需登录即可查看;不展示剩余可卖额度等庄家资金信息;</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分享内容为动态内容:挂单成交、封盘、关闭、结算或赛事开赛后,金刚侧重新获取该链接即展示更新后的状态,不出现过期快照;</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接收方从金刚 webview 点击可唤起体育,并按订单状态精准落地:有效单进入该赛事、选中对应投注项并弹出购物车;失效单提示失效原因并引导查看其他 P2P 挂单;</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为后续分享转化提供可归因的数据基础(分享次数、点击次数、落地成交)。</w:t>
      </w:r>
    </w:p>
    <w:p>
      <w:pPr>
        <w:pStyle w:val="Heading1"/>
        <w:spacing w:after="120" w:before="320"/>
      </w:pPr>
      <w:r>
        <w:rPr>
          <w:rFonts w:ascii="微软雅黑" w:cs="微软雅黑" w:eastAsia="微软雅黑" w:hAnsi="微软雅黑"/>
          <w:b/>
          <w:bCs/>
          <w:color w:val="1B5EBE"/>
          <w:sz w:val="34"/>
          <w:szCs w:val="34"/>
        </w:rPr>
        <w:t xml:space="preserve">三、用户角色</w:t>
      </w:r>
    </w:p>
    <w:tbl>
      <w:tblPr>
        <w:tblW w:type="dxa" w:w="7768"/>
        <w:tblBorders>
          <w:top w:val="single" w:color="D0D7E3" w:sz="4"/>
          <w:left w:val="single" w:color="D0D7E3" w:sz="4"/>
          <w:bottom w:val="single" w:color="D0D7E3" w:sz="4"/>
          <w:right w:val="single" w:color="D0D7E3" w:sz="4"/>
          <w:insideH w:val="single" w:color="auto" w:sz="4"/>
          <w:insideV w:val="single" w:color="auto" w:sz="4"/>
        </w:tblBorders>
        <w:tblLayout w:type="fixed"/>
      </w:tblPr>
      <w:tblGrid>
        <w:gridCol w:w="2268"/>
        <w:gridCol w:w="5500"/>
      </w:tblGrid>
      <w:tr>
        <w:trPr>
          <w:tblHeader/>
        </w:trPr>
        <w:tc>
          <w:tcPr>
            <w:tcW w:type="dxa" w:w="2268"/>
            <w:shd w:fill="1B5EBE" w:val="clear"/>
            <w:tcMar>
              <w:top w:type="dxa" w:w="70"/>
              <w:left w:type="dxa" w:w="110"/>
              <w:bottom w:type="dxa" w:w="70"/>
              <w:right w:type="dxa" w:w="110"/>
            </w:tcMar>
            <w:vAlign w:val="center"/>
          </w:tcPr>
          <w:p>
            <w:pPr>
              <w:jc w:val="center"/>
            </w:pPr>
            <w:r>
              <w:rPr>
                <w:rFonts w:ascii="微软雅黑" w:cs="微软雅黑" w:eastAsia="微软雅黑" w:hAnsi="微软雅黑"/>
                <w:b/>
                <w:bCs/>
                <w:color w:val="FFFFFF"/>
                <w:sz w:val="19"/>
                <w:szCs w:val="19"/>
              </w:rPr>
              <w:t xml:space="preserve">角色</w:t>
            </w:r>
          </w:p>
        </w:tc>
        <w:tc>
          <w:tcPr>
            <w:tcW w:type="dxa" w:w="5500"/>
            <w:shd w:fill="1B5EBE" w:val="clear"/>
            <w:tcMar>
              <w:top w:type="dxa" w:w="70"/>
              <w:left w:type="dxa" w:w="110"/>
              <w:bottom w:type="dxa" w:w="70"/>
              <w:right w:type="dxa" w:w="110"/>
            </w:tcMar>
            <w:vAlign w:val="center"/>
          </w:tcPr>
          <w:p>
            <w:pPr>
              <w:jc w:val="center"/>
            </w:pPr>
            <w:r>
              <w:rPr>
                <w:rFonts w:ascii="微软雅黑" w:cs="微软雅黑" w:eastAsia="微软雅黑" w:hAnsi="微软雅黑"/>
                <w:b/>
                <w:bCs/>
                <w:color w:val="FFFFFF"/>
                <w:sz w:val="19"/>
                <w:szCs w:val="19"/>
              </w:rPr>
              <w:t xml:space="preserve">本期涉及</w:t>
            </w:r>
          </w:p>
        </w:tc>
      </w:tr>
      <w:tr>
        <w:tc>
          <w:tcPr>
            <w:tcW w:type="dxa" w:w="2268"/>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庄家(会员)</w:t>
            </w:r>
          </w:p>
        </w:tc>
        <w:tc>
          <w:tcPr>
            <w:tcW w:type="dxa" w:w="5500"/>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在开盘详情对指定投注项庄单生成分享链接,复制或分享至金刚/Telegram</w:t>
            </w:r>
          </w:p>
        </w:tc>
      </w:tr>
      <w:tr>
        <w:tc>
          <w:tcPr>
            <w:tcW w:type="dxa" w:w="2268"/>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接收方(金刚用户 / TG 用户)</w:t>
            </w:r>
          </w:p>
        </w:tc>
        <w:tc>
          <w:tcPr>
            <w:tcW w:type="dxa" w:w="5500"/>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在会话中查看 webview 内容;点击后唤起体育并落地(可能未注册体育或未登录)</w:t>
            </w:r>
          </w:p>
        </w:tc>
      </w:tr>
      <w:tr>
        <w:tc>
          <w:tcPr>
            <w:tcW w:type="dxa" w:w="2268"/>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运营/管理员</w:t>
            </w:r>
          </w:p>
        </w:tc>
        <w:tc>
          <w:tcPr>
            <w:tcW w:type="dxa" w:w="5500"/>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查看分享与点击数据(本期仅埋点,不做后台页面);对违规挂单强制下架后链接自动失效</w:t>
            </w:r>
          </w:p>
        </w:tc>
      </w:tr>
      <w:tr>
        <w:tc>
          <w:tcPr>
            <w:tcW w:type="dxa" w:w="2268"/>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金刚 App(外部系统)</w:t>
            </w:r>
          </w:p>
        </w:tc>
        <w:tc>
          <w:tcPr>
            <w:tcW w:type="dxa" w:w="5500"/>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按链接渲染 webview 消息体;点击后唤起体育 App 并透传链接参数</w:t>
            </w:r>
          </w:p>
        </w:tc>
      </w:tr>
    </w:tbl>
    <w:p>
      <w:pPr>
        <w:pageBreakBefore/>
      </w:pPr>
    </w:p>
    <w:p>
      <w:pPr>
        <w:pStyle w:val="Heading1"/>
        <w:spacing w:after="120" w:before="320"/>
      </w:pPr>
      <w:r>
        <w:rPr>
          <w:rFonts w:ascii="微软雅黑" w:cs="微软雅黑" w:eastAsia="微软雅黑" w:hAnsi="微软雅黑"/>
          <w:b/>
          <w:bCs/>
          <w:color w:val="1B5EBE"/>
          <w:sz w:val="34"/>
          <w:szCs w:val="34"/>
        </w:rPr>
        <w:t xml:space="preserve">四、业务流程</w:t>
      </w:r>
    </w:p>
    <w:p>
      <w:pPr>
        <w:pStyle w:val="Heading2"/>
        <w:pBdr>
          <w:bottom w:val="single" w:color="1B5EBE" w:sz="4" w:space="4"/>
        </w:pBdr>
        <w:spacing w:after="120" w:before="320"/>
      </w:pPr>
      <w:r>
        <w:rPr>
          <w:rFonts w:ascii="微软雅黑" w:cs="微软雅黑" w:eastAsia="微软雅黑" w:hAnsi="微软雅黑"/>
          <w:b/>
          <w:bCs/>
          <w:color w:val="1B5EBE"/>
          <w:sz w:val="27"/>
          <w:szCs w:val="27"/>
        </w:rPr>
        <w:t xml:space="preserve">4.1 正常流程 — 生成与分享</w:t>
      </w:r>
    </w:p>
    <w:p>
      <w:pPr>
        <w:shd w:fill="F4F6FA" w:val="clear"/>
        <w:spacing w:after="30" w:before="30"/>
        <w:ind w:left="284"/>
      </w:pPr>
      <w:r>
        <w:rPr>
          <w:rFonts w:ascii="Consolas" w:cs="Consolas" w:eastAsia="Consolas" w:hAnsi="Consolas"/>
          <w:color w:val="333333"/>
          <w:sz w:val="18"/>
          <w:szCs w:val="18"/>
        </w:rPr>
        <w:t xml:space="preserve">flowchart TD</w:t>
      </w:r>
    </w:p>
    <w:p>
      <w:pPr>
        <w:shd w:fill="F4F6FA" w:val="clear"/>
        <w:spacing w:after="30" w:before="30"/>
        <w:ind w:left="284"/>
      </w:pPr>
      <w:r>
        <w:rPr>
          <w:rFonts w:ascii="Consolas" w:cs="Consolas" w:eastAsia="Consolas" w:hAnsi="Consolas"/>
          <w:color w:val="333333"/>
          <w:sz w:val="18"/>
          <w:szCs w:val="18"/>
        </w:rPr>
        <w:t xml:space="preserve">  A[庄家进入 我的卖出] --&gt; B[对卖出中的投注项庄单点击 分享]</w:t>
      </w:r>
    </w:p>
    <w:p>
      <w:pPr>
        <w:shd w:fill="F4F6FA" w:val="clear"/>
        <w:spacing w:after="30" w:before="30"/>
        <w:ind w:left="284"/>
      </w:pPr>
      <w:r>
        <w:rPr>
          <w:rFonts w:ascii="Consolas" w:cs="Consolas" w:eastAsia="Consolas" w:hAnsi="Consolas"/>
          <w:color w:val="333333"/>
          <w:sz w:val="18"/>
          <w:szCs w:val="18"/>
        </w:rPr>
        <w:t xml:space="preserve">  B --&gt; C[系统按订单ID生成公开分享链接 并展示内容预览]</w:t>
      </w:r>
    </w:p>
    <w:p>
      <w:pPr>
        <w:shd w:fill="F4F6FA" w:val="clear"/>
        <w:spacing w:after="30" w:before="30"/>
        <w:ind w:left="284"/>
      </w:pPr>
      <w:r>
        <w:rPr>
          <w:rFonts w:ascii="Consolas" w:cs="Consolas" w:eastAsia="Consolas" w:hAnsi="Consolas"/>
          <w:color w:val="333333"/>
          <w:sz w:val="18"/>
          <w:szCs w:val="18"/>
        </w:rPr>
        <w:t xml:space="preserve">  C --&gt; D{分享方式}</w:t>
      </w:r>
    </w:p>
    <w:p>
      <w:pPr>
        <w:shd w:fill="F4F6FA" w:val="clear"/>
        <w:spacing w:after="30" w:before="30"/>
        <w:ind w:left="284"/>
      </w:pPr>
      <w:r>
        <w:rPr>
          <w:rFonts w:ascii="Consolas" w:cs="Consolas" w:eastAsia="Consolas" w:hAnsi="Consolas"/>
          <w:color w:val="333333"/>
          <w:sz w:val="18"/>
          <w:szCs w:val="18"/>
        </w:rPr>
        <w:t xml:space="preserve">  D -- 复制链接 --&gt; E[链接写入剪贴板 提示已复制]</w:t>
      </w:r>
    </w:p>
    <w:p>
      <w:pPr>
        <w:shd w:fill="F4F6FA" w:val="clear"/>
        <w:spacing w:after="30" w:before="30"/>
        <w:ind w:left="284"/>
      </w:pPr>
      <w:r>
        <w:rPr>
          <w:rFonts w:ascii="Consolas" w:cs="Consolas" w:eastAsia="Consolas" w:hAnsi="Consolas"/>
          <w:color w:val="333333"/>
          <w:sz w:val="18"/>
          <w:szCs w:val="18"/>
        </w:rPr>
        <w:t xml:space="preserve">  D -- 分享到金刚 --&gt; F[调起金刚分享 生成webview消息体]</w:t>
      </w:r>
    </w:p>
    <w:p>
      <w:pPr>
        <w:shd w:fill="F4F6FA" w:val="clear"/>
        <w:spacing w:after="30" w:before="30"/>
        <w:ind w:left="284"/>
      </w:pPr>
      <w:r>
        <w:rPr>
          <w:rFonts w:ascii="Consolas" w:cs="Consolas" w:eastAsia="Consolas" w:hAnsi="Consolas"/>
          <w:color w:val="333333"/>
          <w:sz w:val="18"/>
          <w:szCs w:val="18"/>
        </w:rPr>
        <w:t xml:space="preserve">  D -- 分享到 Telegram --&gt; G[调起TG分享 生成链接预览]</w:t>
      </w:r>
    </w:p>
    <w:p>
      <w:pPr>
        <w:spacing w:after="140" w:before="0"/>
      </w:pPr>
    </w:p>
    <w:p>
      <w:pPr>
        <w:spacing w:after="80" w:before="60"/>
      </w:pPr>
      <w:r>
        <w:rPr>
          <w:rFonts w:ascii="微软雅黑" w:cs="微软雅黑" w:eastAsia="微软雅黑" w:hAnsi="微软雅黑"/>
          <w:color w:val="1A1A1A"/>
          <w:sz w:val="21"/>
          <w:szCs w:val="21"/>
        </w:rPr>
        <w:t xml:space="preserve">文字说明:庄家在「我的卖出」中,状态为「卖出中」的投注项庄单卡片展示「分享」按钮;已售罄、已封盘、已关闭、已结算的挂单不展示分享入口。点击后弹出分享层,展示该挂单的内容预览卡与分享链接,并提供「复制链接」「分享到金刚」「分享到 Telegram」三个操作。链接一经生成即长期有效可复用,不设二次生成;同一挂单多次分享使用同一链接。</w:t>
      </w:r>
    </w:p>
    <w:p>
      <w:pPr>
        <w:pStyle w:val="Heading2"/>
        <w:pBdr>
          <w:bottom w:val="single" w:color="1B5EBE" w:sz="4" w:space="4"/>
        </w:pBdr>
        <w:spacing w:after="120" w:before="320"/>
      </w:pPr>
      <w:r>
        <w:rPr>
          <w:rFonts w:ascii="微软雅黑" w:cs="微软雅黑" w:eastAsia="微软雅黑" w:hAnsi="微软雅黑"/>
          <w:b/>
          <w:bCs/>
          <w:color w:val="1B5EBE"/>
          <w:sz w:val="27"/>
          <w:szCs w:val="27"/>
        </w:rPr>
        <w:t xml:space="preserve">4.2 正常流程 — 接收方查看与落地</w:t>
      </w:r>
    </w:p>
    <w:p>
      <w:pPr>
        <w:shd w:fill="F4F6FA" w:val="clear"/>
        <w:spacing w:after="30" w:before="30"/>
        <w:ind w:left="284"/>
      </w:pPr>
      <w:r>
        <w:rPr>
          <w:rFonts w:ascii="Consolas" w:cs="Consolas" w:eastAsia="Consolas" w:hAnsi="Consolas"/>
          <w:color w:val="333333"/>
          <w:sz w:val="18"/>
          <w:szCs w:val="18"/>
        </w:rPr>
        <w:t xml:space="preserve">flowchart TD</w:t>
      </w:r>
    </w:p>
    <w:p>
      <w:pPr>
        <w:shd w:fill="F4F6FA" w:val="clear"/>
        <w:spacing w:after="30" w:before="30"/>
        <w:ind w:left="284"/>
      </w:pPr>
      <w:r>
        <w:rPr>
          <w:rFonts w:ascii="Consolas" w:cs="Consolas" w:eastAsia="Consolas" w:hAnsi="Consolas"/>
          <w:color w:val="333333"/>
          <w:sz w:val="18"/>
          <w:szCs w:val="18"/>
        </w:rPr>
        <w:t xml:space="preserve">  A[接收方在金刚会话看到 webview 消息体] --&gt; B[金刚请求链接内容 体育返回实时关键信息]</w:t>
      </w:r>
    </w:p>
    <w:p>
      <w:pPr>
        <w:shd w:fill="F4F6FA" w:val="clear"/>
        <w:spacing w:after="30" w:before="30"/>
        <w:ind w:left="284"/>
      </w:pPr>
      <w:r>
        <w:rPr>
          <w:rFonts w:ascii="Consolas" w:cs="Consolas" w:eastAsia="Consolas" w:hAnsi="Consolas"/>
          <w:color w:val="333333"/>
          <w:sz w:val="18"/>
          <w:szCs w:val="18"/>
        </w:rPr>
        <w:t xml:space="preserve">  B --&gt; C[webview 展示 LOGO 赛事 玩法 投注项 赔率 挂单状态]</w:t>
      </w:r>
    </w:p>
    <w:p>
      <w:pPr>
        <w:shd w:fill="F4F6FA" w:val="clear"/>
        <w:spacing w:after="30" w:before="30"/>
        <w:ind w:left="284"/>
      </w:pPr>
      <w:r>
        <w:rPr>
          <w:rFonts w:ascii="Consolas" w:cs="Consolas" w:eastAsia="Consolas" w:hAnsi="Consolas"/>
          <w:color w:val="333333"/>
          <w:sz w:val="18"/>
          <w:szCs w:val="18"/>
        </w:rPr>
        <w:t xml:space="preserve">  C --&gt; D[接收方点击 webview]</w:t>
      </w:r>
    </w:p>
    <w:p>
      <w:pPr>
        <w:shd w:fill="F4F6FA" w:val="clear"/>
        <w:spacing w:after="30" w:before="30"/>
        <w:ind w:left="284"/>
      </w:pPr>
      <w:r>
        <w:rPr>
          <w:rFonts w:ascii="Consolas" w:cs="Consolas" w:eastAsia="Consolas" w:hAnsi="Consolas"/>
          <w:color w:val="333333"/>
          <w:sz w:val="18"/>
          <w:szCs w:val="18"/>
        </w:rPr>
        <w:t xml:space="preserve">  D --&gt; E[唤起体育 App 并透传订单ID]</w:t>
      </w:r>
    </w:p>
    <w:p>
      <w:pPr>
        <w:shd w:fill="F4F6FA" w:val="clear"/>
        <w:spacing w:after="30" w:before="30"/>
        <w:ind w:left="284"/>
      </w:pPr>
      <w:r>
        <w:rPr>
          <w:rFonts w:ascii="Consolas" w:cs="Consolas" w:eastAsia="Consolas" w:hAnsi="Consolas"/>
          <w:color w:val="333333"/>
          <w:sz w:val="18"/>
          <w:szCs w:val="18"/>
        </w:rPr>
        <w:t xml:space="preserve">  E --&gt; F{体育校验订单状态}</w:t>
      </w:r>
    </w:p>
    <w:p>
      <w:pPr>
        <w:shd w:fill="F4F6FA" w:val="clear"/>
        <w:spacing w:after="30" w:before="30"/>
        <w:ind w:left="284"/>
      </w:pPr>
      <w:r>
        <w:rPr>
          <w:rFonts w:ascii="Consolas" w:cs="Consolas" w:eastAsia="Consolas" w:hAnsi="Consolas"/>
          <w:color w:val="333333"/>
          <w:sz w:val="18"/>
          <w:szCs w:val="18"/>
        </w:rPr>
        <w:t xml:space="preserve">  F -- 有效 --&gt; G[进入该赛事 自动选中该投注项 弹出购物车]</w:t>
      </w:r>
    </w:p>
    <w:p>
      <w:pPr>
        <w:shd w:fill="F4F6FA" w:val="clear"/>
        <w:spacing w:after="30" w:before="30"/>
        <w:ind w:left="284"/>
      </w:pPr>
      <w:r>
        <w:rPr>
          <w:rFonts w:ascii="Consolas" w:cs="Consolas" w:eastAsia="Consolas" w:hAnsi="Consolas"/>
          <w:color w:val="333333"/>
          <w:sz w:val="18"/>
          <w:szCs w:val="18"/>
        </w:rPr>
        <w:t xml:space="preserve">  F -- 失效 --&gt; H[弹出订单失效提示 引导查看其他P2P挂单]</w:t>
      </w:r>
    </w:p>
    <w:p>
      <w:pPr>
        <w:spacing w:after="140" w:before="0"/>
      </w:pPr>
    </w:p>
    <w:p>
      <w:pPr>
        <w:spacing w:after="80" w:before="60"/>
      </w:pPr>
      <w:r>
        <w:rPr>
          <w:rFonts w:ascii="微软雅黑" w:cs="微软雅黑" w:eastAsia="微软雅黑" w:hAnsi="微软雅黑"/>
          <w:color w:val="1A1A1A"/>
          <w:sz w:val="21"/>
          <w:szCs w:val="21"/>
        </w:rPr>
        <w:t xml:space="preserve">文字说明:金刚侧每次渲染或刷新该 webview 消息体时,均向体育实时请求该订单ID的当前信息,因此挂单成交、封盘、关闭、结算或赛事开赛后,接收方看到的挂单状态都是最新值。接收方点击 webview 后由金刚唤起体育 App(未安装时按金刚既有规则引导下载,本期不做体育侧处理);体育启动后解析链接中的订单ID与参数,重新校验订单状态并决定落地路径。</w:t>
      </w:r>
    </w:p>
    <w:p>
      <w:pPr>
        <w:pStyle w:val="Heading2"/>
        <w:pBdr>
          <w:bottom w:val="single" w:color="1B5EBE" w:sz="4" w:space="4"/>
        </w:pBdr>
        <w:spacing w:after="120" w:before="320"/>
      </w:pPr>
      <w:r>
        <w:rPr>
          <w:rFonts w:ascii="微软雅黑" w:cs="微软雅黑" w:eastAsia="微软雅黑" w:hAnsi="微软雅黑"/>
          <w:b/>
          <w:bCs/>
          <w:color w:val="1B5EBE"/>
          <w:sz w:val="27"/>
          <w:szCs w:val="27"/>
        </w:rPr>
        <w:t xml:space="preserve">4.3 异常流程</w:t>
      </w:r>
    </w:p>
    <w:tbl>
      <w:tblPr>
        <w:tblW w:type="dxa" w:w="7768"/>
        <w:tblBorders>
          <w:top w:val="single" w:color="D0D7E3" w:sz="4"/>
          <w:left w:val="single" w:color="D0D7E3" w:sz="4"/>
          <w:bottom w:val="single" w:color="D0D7E3" w:sz="4"/>
          <w:right w:val="single" w:color="D0D7E3" w:sz="4"/>
          <w:insideH w:val="single" w:color="auto" w:sz="4"/>
          <w:insideV w:val="single" w:color="auto" w:sz="4"/>
        </w:tblBorders>
        <w:tblLayout w:type="fixed"/>
      </w:tblPr>
      <w:tblGrid>
        <w:gridCol w:w="1588"/>
        <w:gridCol w:w="2041"/>
        <w:gridCol w:w="4139"/>
      </w:tblGrid>
      <w:tr>
        <w:trPr>
          <w:tblHeader/>
        </w:trPr>
        <w:tc>
          <w:tcPr>
            <w:tcW w:type="dxa" w:w="1588"/>
            <w:shd w:fill="1B5EBE" w:val="clear"/>
            <w:tcMar>
              <w:top w:type="dxa" w:w="70"/>
              <w:left w:type="dxa" w:w="110"/>
              <w:bottom w:type="dxa" w:w="70"/>
              <w:right w:type="dxa" w:w="110"/>
            </w:tcMar>
            <w:vAlign w:val="center"/>
          </w:tcPr>
          <w:p>
            <w:pPr>
              <w:jc w:val="center"/>
            </w:pPr>
            <w:r>
              <w:rPr>
                <w:rFonts w:ascii="微软雅黑" w:cs="微软雅黑" w:eastAsia="微软雅黑" w:hAnsi="微软雅黑"/>
                <w:b/>
                <w:bCs/>
                <w:color w:val="FFFFFF"/>
                <w:sz w:val="19"/>
                <w:szCs w:val="19"/>
              </w:rPr>
              <w:t xml:space="preserve">异常场景</w:t>
            </w:r>
          </w:p>
        </w:tc>
        <w:tc>
          <w:tcPr>
            <w:tcW w:type="dxa" w:w="2041"/>
            <w:shd w:fill="1B5EBE" w:val="clear"/>
            <w:tcMar>
              <w:top w:type="dxa" w:w="70"/>
              <w:left w:type="dxa" w:w="110"/>
              <w:bottom w:type="dxa" w:w="70"/>
              <w:right w:type="dxa" w:w="110"/>
            </w:tcMar>
            <w:vAlign w:val="center"/>
          </w:tcPr>
          <w:p>
            <w:pPr>
              <w:jc w:val="center"/>
            </w:pPr>
            <w:r>
              <w:rPr>
                <w:rFonts w:ascii="微软雅黑" w:cs="微软雅黑" w:eastAsia="微软雅黑" w:hAnsi="微软雅黑"/>
                <w:b/>
                <w:bCs/>
                <w:color w:val="FFFFFF"/>
                <w:sz w:val="19"/>
                <w:szCs w:val="19"/>
              </w:rPr>
              <w:t xml:space="preserve">触发条件</w:t>
            </w:r>
          </w:p>
        </w:tc>
        <w:tc>
          <w:tcPr>
            <w:tcW w:type="dxa" w:w="4139"/>
            <w:shd w:fill="1B5EBE" w:val="clear"/>
            <w:tcMar>
              <w:top w:type="dxa" w:w="70"/>
              <w:left w:type="dxa" w:w="110"/>
              <w:bottom w:type="dxa" w:w="70"/>
              <w:right w:type="dxa" w:w="110"/>
            </w:tcMar>
            <w:vAlign w:val="center"/>
          </w:tcPr>
          <w:p>
            <w:pPr>
              <w:jc w:val="center"/>
            </w:pPr>
            <w:r>
              <w:rPr>
                <w:rFonts w:ascii="微软雅黑" w:cs="微软雅黑" w:eastAsia="微软雅黑" w:hAnsi="微软雅黑"/>
                <w:b/>
                <w:bCs/>
                <w:color w:val="FFFFFF"/>
                <w:sz w:val="19"/>
                <w:szCs w:val="19"/>
              </w:rPr>
              <w:t xml:space="preserve">系统处理</w:t>
            </w:r>
          </w:p>
        </w:tc>
      </w:tr>
      <w:tr>
        <w:tc>
          <w:tcPr>
            <w:tcW w:type="dxa" w:w="1588"/>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订单已失效</w:t>
            </w:r>
          </w:p>
        </w:tc>
        <w:tc>
          <w:tcPr>
            <w:tcW w:type="dxa" w:w="204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挂单已售罄 / 已封盘 / 已关闭 / 已结算 / 赛事已开赛(共 5 种)</w:t>
            </w:r>
          </w:p>
        </w:tc>
        <w:tc>
          <w:tcPr>
            <w:tcW w:type="dxa" w:w="4139"/>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webview 展示对应失效状态与说明,主按钮文案改为「前往查看其他挂单」;体育落地时弹出失效提示,引导浏览其他 P2P 挂单赛事</w:t>
            </w:r>
          </w:p>
        </w:tc>
      </w:tr>
      <w:tr>
        <w:tc>
          <w:tcPr>
            <w:tcW w:type="dxa" w:w="1588"/>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订单不存在</w:t>
            </w:r>
          </w:p>
        </w:tc>
        <w:tc>
          <w:tcPr>
            <w:tcW w:type="dxa" w:w="204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订单ID 非法或数据已删除</w:t>
            </w:r>
          </w:p>
        </w:tc>
        <w:tc>
          <w:tcPr>
            <w:tcW w:type="dxa" w:w="4139"/>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webview 展示「该挂单已不存在」;体育落地按订单失效流程处理(兜底,非 5 种失效状态之一)</w:t>
            </w:r>
          </w:p>
        </w:tc>
      </w:tr>
      <w:tr>
        <w:tc>
          <w:tcPr>
            <w:tcW w:type="dxa" w:w="1588"/>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查看时有效、落地时失效</w:t>
            </w:r>
          </w:p>
        </w:tc>
        <w:tc>
          <w:tcPr>
            <w:tcW w:type="dxa" w:w="204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webview 展示后至点击期间被买走或被庄家封盘</w:t>
            </w:r>
          </w:p>
        </w:tc>
        <w:tc>
          <w:tcPr>
            <w:tcW w:type="dxa" w:w="4139"/>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以体育落地时的实时校验为准,按失效流程提示,不进入购物车</w:t>
            </w:r>
          </w:p>
        </w:tc>
      </w:tr>
      <w:tr>
        <w:tc>
          <w:tcPr>
            <w:tcW w:type="dxa" w:w="1588"/>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接收方未登录体育</w:t>
            </w:r>
          </w:p>
        </w:tc>
        <w:tc>
          <w:tcPr>
            <w:tcW w:type="dxa" w:w="204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唤起体育后无登录态</w:t>
            </w:r>
          </w:p>
        </w:tc>
        <w:tc>
          <w:tcPr>
            <w:tcW w:type="dxa" w:w="4139"/>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按体育既有登录流程引导登录,登录完成后继续落地至该投注项并弹出购物车;取消登录则停留在赛事列表。本期不做渠道归因与拉新奖励</w:t>
            </w:r>
          </w:p>
        </w:tc>
      </w:tr>
      <w:tr>
        <w:tc>
          <w:tcPr>
            <w:tcW w:type="dxa" w:w="1588"/>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接收方为庄家本人</w:t>
            </w:r>
          </w:p>
        </w:tc>
        <w:tc>
          <w:tcPr>
            <w:tcW w:type="dxa" w:w="204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庄家点击自己分享的链接</w:t>
            </w:r>
          </w:p>
        </w:tc>
        <w:tc>
          <w:tcPr>
            <w:tcW w:type="dxa" w:w="4139"/>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正常落地,允许买入自己的挂单(与既有卖单簿规则保持一致)</w:t>
            </w:r>
          </w:p>
        </w:tc>
      </w:tr>
      <w:tr>
        <w:tc>
          <w:tcPr>
            <w:tcW w:type="dxa" w:w="1588"/>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赛事整场关闭 / IM 无数据</w:t>
            </w:r>
          </w:p>
        </w:tc>
        <w:tc>
          <w:tcPr>
            <w:tcW w:type="dxa" w:w="204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IM 侧关闭该盘口</w:t>
            </w:r>
          </w:p>
        </w:tc>
        <w:tc>
          <w:tcPr>
            <w:tcW w:type="dxa" w:w="4139"/>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按订单失效处理,展示「盘口已关闭」</w:t>
            </w:r>
          </w:p>
        </w:tc>
      </w:tr>
      <w:tr>
        <w:tc>
          <w:tcPr>
            <w:tcW w:type="dxa" w:w="1588"/>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链接被大量转发</w:t>
            </w:r>
          </w:p>
        </w:tc>
        <w:tc>
          <w:tcPr>
            <w:tcW w:type="dxa" w:w="204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同一链接被多人点击</w:t>
            </w:r>
          </w:p>
        </w:tc>
        <w:tc>
          <w:tcPr>
            <w:tcW w:type="dxa" w:w="4139"/>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链接为公开只读内容,不含用户身份信息,不限制访问次数</w:t>
            </w:r>
          </w:p>
        </w:tc>
      </w:tr>
      <w:tr>
        <w:tc>
          <w:tcPr>
            <w:tcW w:type="dxa" w:w="1588"/>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网络异常</w:t>
            </w:r>
          </w:p>
        </w:tc>
        <w:tc>
          <w:tcPr>
            <w:tcW w:type="dxa" w:w="204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金刚请求链接内容超时</w:t>
            </w:r>
          </w:p>
        </w:tc>
        <w:tc>
          <w:tcPr>
            <w:tcW w:type="dxa" w:w="4139"/>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webview 展示占位与重试入口,不展示历史缓存数据以避免过期信息误导</w:t>
            </w:r>
          </w:p>
        </w:tc>
      </w:tr>
    </w:tbl>
    <w:p>
      <w:pPr>
        <w:pageBreakBefore/>
      </w:pPr>
    </w:p>
    <w:p>
      <w:pPr>
        <w:pStyle w:val="Heading1"/>
        <w:spacing w:after="120" w:before="320"/>
      </w:pPr>
      <w:r>
        <w:rPr>
          <w:rFonts w:ascii="微软雅黑" w:cs="微软雅黑" w:eastAsia="微软雅黑" w:hAnsi="微软雅黑"/>
          <w:b/>
          <w:bCs/>
          <w:color w:val="1B5EBE"/>
          <w:sz w:val="34"/>
          <w:szCs w:val="34"/>
        </w:rPr>
        <w:t xml:space="preserve">五、功能需求 — C 端(体育)</w:t>
      </w:r>
    </w:p>
    <w:p>
      <w:pPr>
        <w:pStyle w:val="Heading2"/>
        <w:pBdr>
          <w:bottom w:val="single" w:color="1B5EBE" w:sz="4" w:space="4"/>
        </w:pBdr>
        <w:spacing w:after="120" w:before="320"/>
      </w:pPr>
      <w:r>
        <w:rPr>
          <w:rFonts w:ascii="微软雅黑" w:cs="微软雅黑" w:eastAsia="微软雅黑" w:hAnsi="微软雅黑"/>
          <w:b/>
          <w:bCs/>
          <w:color w:val="1B5EBE"/>
          <w:sz w:val="27"/>
          <w:szCs w:val="27"/>
        </w:rPr>
        <w:t xml:space="preserve">5.1 分享入口与分享层</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入口位置:我的卖出 → 投注项庄单卡片,状态为「卖出中」时展示「分享」按钮;</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失效挂单不可分享:已售罄、已封盘、已关闭、已结算的挂单不展示分享入口,避免庄家分享无效内容;</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点击「分享」弹出分享层,自上而下为:内容预览卡(与接收方所见一致)、分享链接文本行(附「复制」)、「分享到金刚」「分享到 Telegram」两个按钮、「取消」;</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内容预览卡字段:产品标识 KING KONG、挂单状态标签、赛事(主队 vs 客队)、联赛与开赛时间、玩法与投注项、庄单赔率(港盘);不展示剩余可卖额度;</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点击「复制」将完整链接写入剪贴板并提示「链接已复制」;</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点击「分享到金刚」调起金刚分享能力,由金刚生成 webview 消息体;点击「分享到 Telegram」调起 TG 分享,由 TG 生成链接预览;两者均传同一链接,不做内容差异化。</w:t>
      </w:r>
    </w:p>
    <w:p>
      <w:pPr>
        <w:pStyle w:val="Heading2"/>
        <w:pBdr>
          <w:bottom w:val="single" w:color="1B5EBE" w:sz="4" w:space="4"/>
        </w:pBdr>
        <w:spacing w:after="120" w:before="320"/>
      </w:pPr>
      <w:r>
        <w:rPr>
          <w:rFonts w:ascii="微软雅黑" w:cs="微软雅黑" w:eastAsia="微软雅黑" w:hAnsi="微软雅黑"/>
          <w:b/>
          <w:bCs/>
          <w:color w:val="1B5EBE"/>
          <w:sz w:val="27"/>
          <w:szCs w:val="27"/>
        </w:rPr>
        <w:t xml:space="preserve">5.2 分享链接与订单ID</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链接结构:固定域名路径 + 订单ID,订单ID 为该投注项庄单的唯一标识(庄单ID);一个链接对应一个投注项庄单;</w:t>
      </w:r>
    </w:p>
    <w:p>
      <w:pPr>
        <w:shd w:fill="F4F6FA" w:val="clear"/>
        <w:spacing w:after="30" w:before="30"/>
        <w:ind w:left="284"/>
      </w:pPr>
      <w:r>
        <w:rPr>
          <w:rFonts w:ascii="Consolas" w:cs="Consolas" w:eastAsia="Consolas" w:hAnsi="Consolas"/>
          <w:color w:val="333333"/>
          <w:sz w:val="18"/>
          <w:szCs w:val="18"/>
        </w:rPr>
        <w:t xml:space="preserve">https://sports.&lt;域名&gt;/p2p/s/{庄单ID}</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链接为公开可访问内容,无需登录、无需授权,不携带庄家或接收方的任何身份信息;</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链接长期有效且可重复访问:订单失效后链接仍可打开,展示失效状态与引导,不返回 404;</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同一庄单多次分享复用同一链接;不同投注项庄单各自独立链接;</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本期仅支持单个投注项庄单粒度;盘级(整场私盘)分享链接随私盘需求在下一期评估。</w:t>
      </w:r>
    </w:p>
    <w:p>
      <w:pPr>
        <w:pStyle w:val="Heading2"/>
        <w:pBdr>
          <w:bottom w:val="single" w:color="1B5EBE" w:sz="4" w:space="4"/>
        </w:pBdr>
        <w:spacing w:after="120" w:before="320"/>
      </w:pPr>
      <w:r>
        <w:rPr>
          <w:rFonts w:ascii="微软雅黑" w:cs="微软雅黑" w:eastAsia="微软雅黑" w:hAnsi="微软雅黑"/>
          <w:b/>
          <w:bCs/>
          <w:color w:val="1B5EBE"/>
          <w:sz w:val="27"/>
          <w:szCs w:val="27"/>
        </w:rPr>
        <w:t xml:space="preserve">5.3 分享内容页(金刚/TG webview 内容)</w:t>
      </w:r>
    </w:p>
    <w:p>
      <w:pPr>
        <w:spacing w:after="80" w:before="60"/>
      </w:pPr>
      <w:r>
        <w:rPr>
          <w:rFonts w:ascii="微软雅黑" w:cs="微软雅黑" w:eastAsia="微软雅黑" w:hAnsi="微软雅黑"/>
          <w:color w:val="1A1A1A"/>
          <w:sz w:val="21"/>
          <w:szCs w:val="21"/>
        </w:rPr>
        <w:t xml:space="preserve">该页面由体育提供,在金刚或 TG 的 webview 容器内渲染,为只读内容页,不含任何需要登录态的功能。字段与展示规则如下:</w:t>
      </w:r>
    </w:p>
    <w:tbl>
      <w:tblPr>
        <w:tblW w:type="dxa" w:w="7768"/>
        <w:tblBorders>
          <w:top w:val="single" w:color="D0D7E3" w:sz="4"/>
          <w:left w:val="single" w:color="D0D7E3" w:sz="4"/>
          <w:bottom w:val="single" w:color="D0D7E3" w:sz="4"/>
          <w:right w:val="single" w:color="D0D7E3" w:sz="4"/>
          <w:insideH w:val="single" w:color="auto" w:sz="4"/>
          <w:insideV w:val="single" w:color="auto" w:sz="4"/>
        </w:tblBorders>
        <w:tblLayout w:type="fixed"/>
      </w:tblPr>
      <w:tblGrid>
        <w:gridCol w:w="1021"/>
        <w:gridCol w:w="1701"/>
        <w:gridCol w:w="5046"/>
      </w:tblGrid>
      <w:tr>
        <w:trPr>
          <w:tblHeader/>
        </w:trPr>
        <w:tc>
          <w:tcPr>
            <w:tcW w:type="dxa" w:w="1021"/>
            <w:shd w:fill="1B5EBE" w:val="clear"/>
            <w:tcMar>
              <w:top w:type="dxa" w:w="70"/>
              <w:left w:type="dxa" w:w="110"/>
              <w:bottom w:type="dxa" w:w="70"/>
              <w:right w:type="dxa" w:w="110"/>
            </w:tcMar>
            <w:vAlign w:val="center"/>
          </w:tcPr>
          <w:p>
            <w:pPr>
              <w:jc w:val="center"/>
            </w:pPr>
            <w:r>
              <w:rPr>
                <w:rFonts w:ascii="微软雅黑" w:cs="微软雅黑" w:eastAsia="微软雅黑" w:hAnsi="微软雅黑"/>
                <w:b/>
                <w:bCs/>
                <w:color w:val="FFFFFF"/>
                <w:sz w:val="19"/>
                <w:szCs w:val="19"/>
              </w:rPr>
              <w:t xml:space="preserve">区域</w:t>
            </w:r>
          </w:p>
        </w:tc>
        <w:tc>
          <w:tcPr>
            <w:tcW w:type="dxa" w:w="1701"/>
            <w:shd w:fill="1B5EBE" w:val="clear"/>
            <w:tcMar>
              <w:top w:type="dxa" w:w="70"/>
              <w:left w:type="dxa" w:w="110"/>
              <w:bottom w:type="dxa" w:w="70"/>
              <w:right w:type="dxa" w:w="110"/>
            </w:tcMar>
            <w:vAlign w:val="center"/>
          </w:tcPr>
          <w:p>
            <w:pPr>
              <w:jc w:val="center"/>
            </w:pPr>
            <w:r>
              <w:rPr>
                <w:rFonts w:ascii="微软雅黑" w:cs="微软雅黑" w:eastAsia="微软雅黑" w:hAnsi="微软雅黑"/>
                <w:b/>
                <w:bCs/>
                <w:color w:val="FFFFFF"/>
                <w:sz w:val="19"/>
                <w:szCs w:val="19"/>
              </w:rPr>
              <w:t xml:space="preserve">字段</w:t>
            </w:r>
          </w:p>
        </w:tc>
        <w:tc>
          <w:tcPr>
            <w:tcW w:type="dxa" w:w="5046"/>
            <w:shd w:fill="1B5EBE" w:val="clear"/>
            <w:tcMar>
              <w:top w:type="dxa" w:w="70"/>
              <w:left w:type="dxa" w:w="110"/>
              <w:bottom w:type="dxa" w:w="70"/>
              <w:right w:type="dxa" w:w="110"/>
            </w:tcMar>
            <w:vAlign w:val="center"/>
          </w:tcPr>
          <w:p>
            <w:pPr>
              <w:jc w:val="center"/>
            </w:pPr>
            <w:r>
              <w:rPr>
                <w:rFonts w:ascii="微软雅黑" w:cs="微软雅黑" w:eastAsia="微软雅黑" w:hAnsi="微软雅黑"/>
                <w:b/>
                <w:bCs/>
                <w:color w:val="FFFFFF"/>
                <w:sz w:val="19"/>
                <w:szCs w:val="19"/>
              </w:rPr>
              <w:t xml:space="preserve">展示规则</w:t>
            </w:r>
          </w:p>
        </w:tc>
      </w:tr>
      <w:tr>
        <w:tc>
          <w:tcPr>
            <w:tcW w:type="dxa" w:w="102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品牌区</w:t>
            </w:r>
          </w:p>
        </w:tc>
        <w:tc>
          <w:tcPr>
            <w:tcW w:type="dxa" w:w="170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产品 LOGO 与名称</w:t>
            </w:r>
          </w:p>
        </w:tc>
        <w:tc>
          <w:tcPr>
            <w:tcW w:type="dxa" w:w="5046"/>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固定展示 KING KONG 体育标识与「P2P」标记</w:t>
            </w:r>
          </w:p>
        </w:tc>
      </w:tr>
      <w:tr>
        <w:tc>
          <w:tcPr>
            <w:tcW w:type="dxa" w:w="102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赛事区</w:t>
            </w:r>
          </w:p>
        </w:tc>
        <w:tc>
          <w:tcPr>
            <w:tcW w:type="dxa" w:w="170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联赛名称、开赛时间、主队 vs 客队</w:t>
            </w:r>
          </w:p>
        </w:tc>
        <w:tc>
          <w:tcPr>
            <w:tcW w:type="dxa" w:w="5046"/>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取该庄单所属赛事的实时信息</w:t>
            </w:r>
          </w:p>
        </w:tc>
      </w:tr>
      <w:tr>
        <w:tc>
          <w:tcPr>
            <w:tcW w:type="dxa" w:w="102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挂单区</w:t>
            </w:r>
          </w:p>
        </w:tc>
        <w:tc>
          <w:tcPr>
            <w:tcW w:type="dxa" w:w="170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玩法</w:t>
            </w:r>
          </w:p>
        </w:tc>
        <w:tc>
          <w:tcPr>
            <w:tcW w:type="dxa" w:w="5046"/>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如「全场 大/小」「全场 独赢」</w:t>
            </w:r>
          </w:p>
        </w:tc>
      </w:tr>
      <w:tr>
        <w:tc>
          <w:tcPr>
            <w:tcW w:type="dxa" w:w="102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挂单区</w:t>
            </w:r>
          </w:p>
        </w:tc>
        <w:tc>
          <w:tcPr>
            <w:tcW w:type="dxa" w:w="170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投注项</w:t>
            </w:r>
          </w:p>
        </w:tc>
        <w:tc>
          <w:tcPr>
            <w:tcW w:type="dxa" w:w="5046"/>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如「大 3」「主胜」,加粗突出</w:t>
            </w:r>
          </w:p>
        </w:tc>
      </w:tr>
      <w:tr>
        <w:tc>
          <w:tcPr>
            <w:tcW w:type="dxa" w:w="102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挂单区</w:t>
            </w:r>
          </w:p>
        </w:tc>
        <w:tc>
          <w:tcPr>
            <w:tcW w:type="dxa" w:w="170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庄单赔率</w:t>
            </w:r>
          </w:p>
        </w:tc>
        <w:tc>
          <w:tcPr>
            <w:tcW w:type="dxa" w:w="5046"/>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港盘赔率,橙色加粗;取实时值</w:t>
            </w:r>
          </w:p>
        </w:tc>
      </w:tr>
      <w:tr>
        <w:tc>
          <w:tcPr>
            <w:tcW w:type="dxa" w:w="102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挂单区</w:t>
            </w:r>
          </w:p>
        </w:tc>
        <w:tc>
          <w:tcPr>
            <w:tcW w:type="dxa" w:w="170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庄家</w:t>
            </w:r>
          </w:p>
        </w:tc>
        <w:tc>
          <w:tcPr>
            <w:tcW w:type="dxa" w:w="5046"/>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挂单所属庄家标识</w:t>
            </w:r>
          </w:p>
        </w:tc>
      </w:tr>
      <w:tr>
        <w:tc>
          <w:tcPr>
            <w:tcW w:type="dxa" w:w="102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状态区</w:t>
            </w:r>
          </w:p>
        </w:tc>
        <w:tc>
          <w:tcPr>
            <w:tcW w:type="dxa" w:w="170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挂单状态</w:t>
            </w:r>
          </w:p>
        </w:tc>
        <w:tc>
          <w:tcPr>
            <w:tcW w:type="dxa" w:w="5046"/>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卖出中 / 已售罄 / 已封盘 / 已关闭 / 已结算(另有兜底态:已不存在)</w:t>
            </w:r>
          </w:p>
        </w:tc>
      </w:tr>
      <w:tr>
        <w:tc>
          <w:tcPr>
            <w:tcW w:type="dxa" w:w="102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状态区</w:t>
            </w:r>
          </w:p>
        </w:tc>
        <w:tc>
          <w:tcPr>
            <w:tcW w:type="dxa" w:w="170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(不展示额度)</w:t>
            </w:r>
          </w:p>
        </w:tc>
        <w:tc>
          <w:tcPr>
            <w:tcW w:type="dxa" w:w="5046"/>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不展示剩余可卖额度与押金等庄家资金信息</w:t>
            </w:r>
          </w:p>
        </w:tc>
      </w:tr>
      <w:tr>
        <w:tc>
          <w:tcPr>
            <w:tcW w:type="dxa" w:w="102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状态区</w:t>
            </w:r>
          </w:p>
        </w:tc>
        <w:tc>
          <w:tcPr>
            <w:tcW w:type="dxa" w:w="170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失效说明</w:t>
            </w:r>
          </w:p>
        </w:tc>
        <w:tc>
          <w:tcPr>
            <w:tcW w:type="dxa" w:w="5046"/>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非「卖出中」时展示失效原因文案</w:t>
            </w:r>
          </w:p>
        </w:tc>
      </w:tr>
      <w:tr>
        <w:tc>
          <w:tcPr>
            <w:tcW w:type="dxa" w:w="102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底部</w:t>
            </w:r>
          </w:p>
        </w:tc>
        <w:tc>
          <w:tcPr>
            <w:tcW w:type="dxa" w:w="170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信息更新时间</w:t>
            </w:r>
          </w:p>
        </w:tc>
        <w:tc>
          <w:tcPr>
            <w:tcW w:type="dxa" w:w="5046"/>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展示本次获取时间,并说明每次打开自动获取最新信息</w:t>
            </w:r>
          </w:p>
        </w:tc>
      </w:tr>
      <w:tr>
        <w:tc>
          <w:tcPr>
            <w:tcW w:type="dxa" w:w="102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底部</w:t>
            </w:r>
          </w:p>
        </w:tc>
        <w:tc>
          <w:tcPr>
            <w:tcW w:type="dxa" w:w="170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主按钮</w:t>
            </w:r>
          </w:p>
        </w:tc>
        <w:tc>
          <w:tcPr>
            <w:tcW w:type="dxa" w:w="5046"/>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有效:「立即前往投注」;失效:「前往查看其他挂单」</w:t>
            </w:r>
          </w:p>
        </w:tc>
      </w:tr>
    </w:tbl>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内容实时性:每次页面加载或刷新均请求最新数据,不使用缓存快照;</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页面不展示任何与接收方相关的个性化信息(余额、限额、优惠等);</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页面不提供直接投注能力,投注一律回到体育 App 内完成。</w:t>
      </w:r>
    </w:p>
    <w:p>
      <w:pPr>
        <w:pStyle w:val="Heading2"/>
        <w:pBdr>
          <w:bottom w:val="single" w:color="1B5EBE" w:sz="4" w:space="4"/>
        </w:pBdr>
        <w:spacing w:after="120" w:before="320"/>
      </w:pPr>
      <w:r>
        <w:rPr>
          <w:rFonts w:ascii="微软雅黑" w:cs="微软雅黑" w:eastAsia="微软雅黑" w:hAnsi="微软雅黑"/>
          <w:b/>
          <w:bCs/>
          <w:color w:val="1B5EBE"/>
          <w:sz w:val="27"/>
          <w:szCs w:val="27"/>
        </w:rPr>
        <w:t xml:space="preserve">5.4 落地行为(点击 webview 后)</w:t>
      </w:r>
    </w:p>
    <w:p>
      <w:pPr>
        <w:spacing w:after="80" w:before="60"/>
      </w:pPr>
      <w:r>
        <w:rPr>
          <w:rFonts w:ascii="微软雅黑" w:cs="微软雅黑" w:eastAsia="微软雅黑" w:hAnsi="微软雅黑"/>
          <w:color w:val="1A1A1A"/>
          <w:sz w:val="21"/>
          <w:szCs w:val="21"/>
        </w:rPr>
        <w:t xml:space="preserve">体育被唤起后,先按订单ID 重新校验状态,再决定落地路径。校验以体育侧实时数据为准,不信任链接中携带的状态参数。</w:t>
      </w:r>
    </w:p>
    <w:p>
      <w:pPr>
        <w:spacing w:after="80" w:before="0"/>
      </w:pPr>
    </w:p>
    <w:p>
      <w:pPr>
        <w:spacing w:after="80" w:before="60"/>
      </w:pPr>
      <w:r>
        <w:rPr>
          <w:rFonts w:ascii="微软雅黑" w:cs="微软雅黑" w:eastAsia="微软雅黑" w:hAnsi="微软雅黑"/>
          <w:b/>
          <w:bCs/>
          <w:color w:val="1A1A1A"/>
          <w:sz w:val="21"/>
          <w:szCs w:val="21"/>
        </w:rPr>
        <w:t xml:space="preserve">订单有效(卖出中且仍有可卖额度、赛事未开赛):</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进入该挂单所属赛事的比赛详情(赛事列表中的原赛事,本期不涉及私盘);</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自动选中该投注项(赔率格呈选中态);</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自动弹出购物车弹层,买入 Tab 已带入该投注项卡片,金额待输入;</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提示「已定位该 P2P 挂单,请输入投注金额」;</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购物车内展示该投注项的卖单簿,分享者的庄单档位按既有排序规则参与排列;后续买入、依序吃单、注单确认等流程完全沿用既有规则,不做差异处理;</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允许接收方买入分享者本人的挂单(与既有卖单簿规则保持一致,本期不做限制)。</w:t>
      </w:r>
    </w:p>
    <w:p>
      <w:pPr>
        <w:spacing w:after="80" w:before="0"/>
      </w:pPr>
    </w:p>
    <w:p>
      <w:pPr>
        <w:spacing w:after="80" w:before="60"/>
      </w:pPr>
      <w:r>
        <w:rPr>
          <w:rFonts w:ascii="微软雅黑" w:cs="微软雅黑" w:eastAsia="微软雅黑" w:hAnsi="微软雅黑"/>
          <w:b/>
          <w:bCs/>
          <w:color w:val="1A1A1A"/>
          <w:sz w:val="21"/>
          <w:szCs w:val="21"/>
        </w:rPr>
        <w:t xml:space="preserve">订单失效:</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不进入购物车,弹出「订单已失效」提示弹窗,展示具体失效原因(已售罄 / 已封盘 / 已关闭 / 已结算 / 赛事已开赛);</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弹窗提供两个操作:「关闭」停留在赛事列表;「查看其他 P2P 挂单」关闭弹窗并展示存在 P2P 挂单的赛事列表,供接收方继续浏览;</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失效不影响接收方在体育内的其他浏览与投注行为。</w:t>
      </w:r>
    </w:p>
    <w:p>
      <w:pPr>
        <w:pStyle w:val="Heading2"/>
        <w:pBdr>
          <w:bottom w:val="single" w:color="1B5EBE" w:sz="4" w:space="4"/>
        </w:pBdr>
        <w:spacing w:after="120" w:before="320"/>
      </w:pPr>
      <w:r>
        <w:rPr>
          <w:rFonts w:ascii="微软雅黑" w:cs="微软雅黑" w:eastAsia="微软雅黑" w:hAnsi="微软雅黑"/>
          <w:b/>
          <w:bCs/>
          <w:color w:val="1B5EBE"/>
          <w:sz w:val="27"/>
          <w:szCs w:val="27"/>
        </w:rPr>
        <w:t xml:space="preserve">5.5 数据埋点</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分享层曝光、复制链接、分享到金刚、分享到 TG 各记录一次事件,附庄单ID;</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分享内容页加载记录一次事件,附庄单ID 与当次挂单状态;</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主按钮点击记录一次事件,附落地结果(有效落地 / 失效提示);</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落地后产生的成交在既有注单数据中标记来源为分享落地,用于计算分享转化;本期不做渠道归因与拉新奖励;</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本期仅上报埋点,不建设后台分析页面。</w:t>
      </w:r>
    </w:p>
    <w:p>
      <w:pPr>
        <w:pageBreakBefore/>
      </w:pPr>
    </w:p>
    <w:p>
      <w:pPr>
        <w:pStyle w:val="Heading1"/>
        <w:spacing w:after="120" w:before="320"/>
      </w:pPr>
      <w:r>
        <w:rPr>
          <w:rFonts w:ascii="微软雅黑" w:cs="微软雅黑" w:eastAsia="微软雅黑" w:hAnsi="微软雅黑"/>
          <w:b/>
          <w:bCs/>
          <w:color w:val="1B5EBE"/>
          <w:sz w:val="34"/>
          <w:szCs w:val="34"/>
        </w:rPr>
        <w:t xml:space="preserve">六、对外系统依赖(金刚 / Telegram)</w:t>
      </w:r>
    </w:p>
    <w:p>
      <w:pPr>
        <w:spacing w:after="80" w:before="60"/>
      </w:pPr>
      <w:r>
        <w:rPr>
          <w:rFonts w:ascii="微软雅黑" w:cs="微软雅黑" w:eastAsia="微软雅黑" w:hAnsi="微软雅黑"/>
          <w:color w:val="1A1A1A"/>
          <w:sz w:val="21"/>
          <w:szCs w:val="21"/>
        </w:rPr>
        <w:t xml:space="preserve">以下为体育对外部系统的依赖说明,非体育侧需求,列出以便对接对齐:</w:t>
      </w:r>
    </w:p>
    <w:tbl>
      <w:tblPr>
        <w:tblW w:type="dxa" w:w="7201"/>
        <w:tblBorders>
          <w:top w:val="single" w:color="D0D7E3" w:sz="4"/>
          <w:left w:val="single" w:color="D0D7E3" w:sz="4"/>
          <w:bottom w:val="single" w:color="D0D7E3" w:sz="4"/>
          <w:right w:val="single" w:color="D0D7E3" w:sz="4"/>
          <w:insideH w:val="single" w:color="auto" w:sz="4"/>
          <w:insideV w:val="single" w:color="auto" w:sz="4"/>
        </w:tblBorders>
        <w:tblLayout w:type="fixed"/>
      </w:tblPr>
      <w:tblGrid>
        <w:gridCol w:w="1361"/>
        <w:gridCol w:w="4706"/>
        <w:gridCol w:w="1134"/>
      </w:tblGrid>
      <w:tr>
        <w:trPr>
          <w:tblHeader/>
        </w:trPr>
        <w:tc>
          <w:tcPr>
            <w:tcW w:type="dxa" w:w="1361"/>
            <w:shd w:fill="1B5EBE" w:val="clear"/>
            <w:tcMar>
              <w:top w:type="dxa" w:w="70"/>
              <w:left w:type="dxa" w:w="110"/>
              <w:bottom w:type="dxa" w:w="70"/>
              <w:right w:type="dxa" w:w="110"/>
            </w:tcMar>
            <w:vAlign w:val="center"/>
          </w:tcPr>
          <w:p>
            <w:pPr>
              <w:jc w:val="center"/>
            </w:pPr>
            <w:r>
              <w:rPr>
                <w:rFonts w:ascii="微软雅黑" w:cs="微软雅黑" w:eastAsia="微软雅黑" w:hAnsi="微软雅黑"/>
                <w:b/>
                <w:bCs/>
                <w:color w:val="FFFFFF"/>
                <w:sz w:val="19"/>
                <w:szCs w:val="19"/>
              </w:rPr>
              <w:t xml:space="preserve">系统</w:t>
            </w:r>
          </w:p>
        </w:tc>
        <w:tc>
          <w:tcPr>
            <w:tcW w:type="dxa" w:w="4706"/>
            <w:shd w:fill="1B5EBE" w:val="clear"/>
            <w:tcMar>
              <w:top w:type="dxa" w:w="70"/>
              <w:left w:type="dxa" w:w="110"/>
              <w:bottom w:type="dxa" w:w="70"/>
              <w:right w:type="dxa" w:w="110"/>
            </w:tcMar>
            <w:vAlign w:val="center"/>
          </w:tcPr>
          <w:p>
            <w:pPr>
              <w:jc w:val="center"/>
            </w:pPr>
            <w:r>
              <w:rPr>
                <w:rFonts w:ascii="微软雅黑" w:cs="微软雅黑" w:eastAsia="微软雅黑" w:hAnsi="微软雅黑"/>
                <w:b/>
                <w:bCs/>
                <w:color w:val="FFFFFF"/>
                <w:sz w:val="19"/>
                <w:szCs w:val="19"/>
              </w:rPr>
              <w:t xml:space="preserve">依赖内容</w:t>
            </w:r>
          </w:p>
        </w:tc>
        <w:tc>
          <w:tcPr>
            <w:tcW w:type="dxa" w:w="1134"/>
            <w:shd w:fill="1B5EBE" w:val="clear"/>
            <w:tcMar>
              <w:top w:type="dxa" w:w="70"/>
              <w:left w:type="dxa" w:w="110"/>
              <w:bottom w:type="dxa" w:w="70"/>
              <w:right w:type="dxa" w:w="110"/>
            </w:tcMar>
            <w:vAlign w:val="center"/>
          </w:tcPr>
          <w:p>
            <w:pPr>
              <w:jc w:val="center"/>
            </w:pPr>
            <w:r>
              <w:rPr>
                <w:rFonts w:ascii="微软雅黑" w:cs="微软雅黑" w:eastAsia="微软雅黑" w:hAnsi="微软雅黑"/>
                <w:b/>
                <w:bCs/>
                <w:color w:val="FFFFFF"/>
                <w:sz w:val="19"/>
                <w:szCs w:val="19"/>
              </w:rPr>
              <w:t xml:space="preserve">责任方</w:t>
            </w:r>
          </w:p>
        </w:tc>
      </w:tr>
      <w:tr>
        <w:tc>
          <w:tcPr>
            <w:tcW w:type="dxa" w:w="136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金刚 App</w:t>
            </w:r>
          </w:p>
        </w:tc>
        <w:tc>
          <w:tcPr>
            <w:tcW w:type="dxa" w:w="4706"/>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提供分享能力供体育调起;按链接生成 webview 消息体并渲染内容</w:t>
            </w:r>
          </w:p>
        </w:tc>
        <w:tc>
          <w:tcPr>
            <w:tcW w:type="dxa" w:w="1134"/>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金刚</w:t>
            </w:r>
          </w:p>
        </w:tc>
      </w:tr>
      <w:tr>
        <w:tc>
          <w:tcPr>
            <w:tcW w:type="dxa" w:w="136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金刚 App</w:t>
            </w:r>
          </w:p>
        </w:tc>
        <w:tc>
          <w:tcPr>
            <w:tcW w:type="dxa" w:w="4706"/>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每次渲染/刷新 webview 时请求链接最新内容,不使用本地缓存</w:t>
            </w:r>
          </w:p>
        </w:tc>
        <w:tc>
          <w:tcPr>
            <w:tcW w:type="dxa" w:w="1134"/>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金刚</w:t>
            </w:r>
          </w:p>
        </w:tc>
      </w:tr>
      <w:tr>
        <w:tc>
          <w:tcPr>
            <w:tcW w:type="dxa" w:w="136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金刚 App</w:t>
            </w:r>
          </w:p>
        </w:tc>
        <w:tc>
          <w:tcPr>
            <w:tcW w:type="dxa" w:w="4706"/>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点击 webview 唤起体育 App 并透传订单ID;未安装体育时按金刚既有规则引导</w:t>
            </w:r>
          </w:p>
        </w:tc>
        <w:tc>
          <w:tcPr>
            <w:tcW w:type="dxa" w:w="1134"/>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金刚</w:t>
            </w:r>
          </w:p>
        </w:tc>
      </w:tr>
      <w:tr>
        <w:tc>
          <w:tcPr>
            <w:tcW w:type="dxa" w:w="136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Telegram</w:t>
            </w:r>
          </w:p>
        </w:tc>
        <w:tc>
          <w:tcPr>
            <w:tcW w:type="dxa" w:w="4706"/>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按链接抓取预览信息(标题、描述、缩略图)并生成会话预览</w:t>
            </w:r>
          </w:p>
        </w:tc>
        <w:tc>
          <w:tcPr>
            <w:tcW w:type="dxa" w:w="1134"/>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TG 平台</w:t>
            </w:r>
          </w:p>
        </w:tc>
      </w:tr>
      <w:tr>
        <w:tc>
          <w:tcPr>
            <w:tcW w:type="dxa" w:w="136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体育</w:t>
            </w:r>
          </w:p>
        </w:tc>
        <w:tc>
          <w:tcPr>
            <w:tcW w:type="dxa" w:w="4706"/>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提供公开可访问的分享内容页与实时数据;提供唤起后的参数解析与落地</w:t>
            </w:r>
          </w:p>
        </w:tc>
        <w:tc>
          <w:tcPr>
            <w:tcW w:type="dxa" w:w="1134"/>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体育</w:t>
            </w:r>
          </w:p>
        </w:tc>
      </w:tr>
    </w:tbl>
    <w:p>
      <w:pPr>
        <w:pBdr>
          <w:left w:val="single" w:color="E65C00" w:sz="12" w:space="8"/>
        </w:pBdr>
        <w:shd w:fill="FFF3E0" w:val="clear"/>
        <w:spacing w:after="120" w:before="120"/>
        <w:ind w:left="170" w:right="170"/>
      </w:pPr>
      <w:r>
        <w:rPr>
          <w:rFonts w:ascii="微软雅黑" w:cs="微软雅黑" w:eastAsia="微软雅黑" w:hAnsi="微软雅黑"/>
          <w:b/>
          <w:bCs/>
          <w:color w:val="E65C00"/>
          <w:sz w:val="20"/>
          <w:szCs w:val="20"/>
        </w:rPr>
        <w:t xml:space="preserve">【注意】</w:t>
      </w:r>
      <w:r>
        <w:rPr>
          <w:rFonts w:ascii="微软雅黑" w:cs="微软雅黑" w:eastAsia="微软雅黑" w:hAnsi="微软雅黑"/>
          <w:color w:val="1A1A1A"/>
          <w:sz w:val="20"/>
          <w:szCs w:val="20"/>
        </w:rPr>
        <w:t xml:space="preserve">TG 侧预览由平台自动抓取,体育需保证内容页提供规范的分享元信息(标题、描述、缩略图),否则 TG 仅展示纯链接。元信息内容与 5.3 字段一致,由体育提供。</w:t>
      </w:r>
    </w:p>
    <w:p>
      <w:pPr>
        <w:pStyle w:val="Heading1"/>
        <w:spacing w:after="120" w:before="320"/>
      </w:pPr>
      <w:r>
        <w:rPr>
          <w:rFonts w:ascii="微软雅黑" w:cs="微软雅黑" w:eastAsia="微软雅黑" w:hAnsi="微软雅黑"/>
          <w:b/>
          <w:bCs/>
          <w:color w:val="1B5EBE"/>
          <w:sz w:val="34"/>
          <w:szCs w:val="34"/>
        </w:rPr>
        <w:t xml:space="preserve">七、状态变化</w:t>
      </w:r>
    </w:p>
    <w:p>
      <w:pPr>
        <w:spacing w:after="80" w:before="60"/>
      </w:pPr>
      <w:r>
        <w:rPr>
          <w:rFonts w:ascii="微软雅黑" w:cs="微软雅黑" w:eastAsia="微软雅黑" w:hAnsi="微软雅黑"/>
          <w:color w:val="1A1A1A"/>
          <w:sz w:val="21"/>
          <w:szCs w:val="21"/>
        </w:rPr>
        <w:t xml:space="preserve">分享链接自身无状态,其展示形态完全由被分享庄单的状态决定。对应关系如下:</w:t>
      </w:r>
    </w:p>
    <w:tbl>
      <w:tblPr>
        <w:tblW w:type="dxa" w:w="7768"/>
        <w:tblBorders>
          <w:top w:val="single" w:color="D0D7E3" w:sz="4"/>
          <w:left w:val="single" w:color="D0D7E3" w:sz="4"/>
          <w:bottom w:val="single" w:color="D0D7E3" w:sz="4"/>
          <w:right w:val="single" w:color="D0D7E3" w:sz="4"/>
          <w:insideH w:val="single" w:color="auto" w:sz="4"/>
          <w:insideV w:val="single" w:color="auto" w:sz="4"/>
        </w:tblBorders>
        <w:tblLayout w:type="fixed"/>
      </w:tblPr>
      <w:tblGrid>
        <w:gridCol w:w="2268"/>
        <w:gridCol w:w="2835"/>
        <w:gridCol w:w="2665"/>
      </w:tblGrid>
      <w:tr>
        <w:trPr>
          <w:tblHeader/>
        </w:trPr>
        <w:tc>
          <w:tcPr>
            <w:tcW w:type="dxa" w:w="2268"/>
            <w:shd w:fill="1B5EBE" w:val="clear"/>
            <w:tcMar>
              <w:top w:type="dxa" w:w="70"/>
              <w:left w:type="dxa" w:w="110"/>
              <w:bottom w:type="dxa" w:w="70"/>
              <w:right w:type="dxa" w:w="110"/>
            </w:tcMar>
            <w:vAlign w:val="center"/>
          </w:tcPr>
          <w:p>
            <w:pPr>
              <w:jc w:val="center"/>
            </w:pPr>
            <w:r>
              <w:rPr>
                <w:rFonts w:ascii="微软雅黑" w:cs="微软雅黑" w:eastAsia="微软雅黑" w:hAnsi="微软雅黑"/>
                <w:b/>
                <w:bCs/>
                <w:color w:val="FFFFFF"/>
                <w:sz w:val="19"/>
                <w:szCs w:val="19"/>
              </w:rPr>
              <w:t xml:space="preserve">庄单/盘状态</w:t>
            </w:r>
          </w:p>
        </w:tc>
        <w:tc>
          <w:tcPr>
            <w:tcW w:type="dxa" w:w="2835"/>
            <w:shd w:fill="1B5EBE" w:val="clear"/>
            <w:tcMar>
              <w:top w:type="dxa" w:w="70"/>
              <w:left w:type="dxa" w:w="110"/>
              <w:bottom w:type="dxa" w:w="70"/>
              <w:right w:type="dxa" w:w="110"/>
            </w:tcMar>
            <w:vAlign w:val="center"/>
          </w:tcPr>
          <w:p>
            <w:pPr>
              <w:jc w:val="center"/>
            </w:pPr>
            <w:r>
              <w:rPr>
                <w:rFonts w:ascii="微软雅黑" w:cs="微软雅黑" w:eastAsia="微软雅黑" w:hAnsi="微软雅黑"/>
                <w:b/>
                <w:bCs/>
                <w:color w:val="FFFFFF"/>
                <w:sz w:val="19"/>
                <w:szCs w:val="19"/>
              </w:rPr>
              <w:t xml:space="preserve">分享内容页展示</w:t>
            </w:r>
          </w:p>
        </w:tc>
        <w:tc>
          <w:tcPr>
            <w:tcW w:type="dxa" w:w="2665"/>
            <w:shd w:fill="1B5EBE" w:val="clear"/>
            <w:tcMar>
              <w:top w:type="dxa" w:w="70"/>
              <w:left w:type="dxa" w:w="110"/>
              <w:bottom w:type="dxa" w:w="70"/>
              <w:right w:type="dxa" w:w="110"/>
            </w:tcMar>
            <w:vAlign w:val="center"/>
          </w:tcPr>
          <w:p>
            <w:pPr>
              <w:jc w:val="center"/>
            </w:pPr>
            <w:r>
              <w:rPr>
                <w:rFonts w:ascii="微软雅黑" w:cs="微软雅黑" w:eastAsia="微软雅黑" w:hAnsi="微软雅黑"/>
                <w:b/>
                <w:bCs/>
                <w:color w:val="FFFFFF"/>
                <w:sz w:val="19"/>
                <w:szCs w:val="19"/>
              </w:rPr>
              <w:t xml:space="preserve">落地行为</w:t>
            </w:r>
          </w:p>
        </w:tc>
      </w:tr>
      <w:tr>
        <w:tc>
          <w:tcPr>
            <w:tcW w:type="dxa" w:w="2268"/>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卖出中(有可卖额度且未开赛)</w:t>
            </w:r>
          </w:p>
        </w:tc>
        <w:tc>
          <w:tcPr>
            <w:tcW w:type="dxa" w:w="2835"/>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卖出中 + 「立即前往投注」</w:t>
            </w:r>
          </w:p>
        </w:tc>
        <w:tc>
          <w:tcPr>
            <w:tcW w:type="dxa" w:w="2665"/>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进入该赛事,选中投注项并弹出购物车</w:t>
            </w:r>
          </w:p>
        </w:tc>
      </w:tr>
      <w:tr>
        <w:tc>
          <w:tcPr>
            <w:tcW w:type="dxa" w:w="2268"/>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已售罄</w:t>
            </w:r>
          </w:p>
        </w:tc>
        <w:tc>
          <w:tcPr>
            <w:tcW w:type="dxa" w:w="2835"/>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已售罄 + 失效说明</w:t>
            </w:r>
          </w:p>
        </w:tc>
        <w:tc>
          <w:tcPr>
            <w:tcW w:type="dxa" w:w="2665"/>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订单失效提示,引导查看其他挂单</w:t>
            </w:r>
          </w:p>
        </w:tc>
      </w:tr>
      <w:tr>
        <w:tc>
          <w:tcPr>
            <w:tcW w:type="dxa" w:w="2268"/>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已封盘</w:t>
            </w:r>
          </w:p>
        </w:tc>
        <w:tc>
          <w:tcPr>
            <w:tcW w:type="dxa" w:w="2835"/>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已封盘 + 失效说明</w:t>
            </w:r>
          </w:p>
        </w:tc>
        <w:tc>
          <w:tcPr>
            <w:tcW w:type="dxa" w:w="2665"/>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订单失效提示,引导查看其他挂单</w:t>
            </w:r>
          </w:p>
        </w:tc>
      </w:tr>
      <w:tr>
        <w:tc>
          <w:tcPr>
            <w:tcW w:type="dxa" w:w="2268"/>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已关闭(停止收单/强制下架/IM关盘)</w:t>
            </w:r>
          </w:p>
        </w:tc>
        <w:tc>
          <w:tcPr>
            <w:tcW w:type="dxa" w:w="2835"/>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已关闭 + 失效说明</w:t>
            </w:r>
          </w:p>
        </w:tc>
        <w:tc>
          <w:tcPr>
            <w:tcW w:type="dxa" w:w="2665"/>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订单失效提示,引导查看其他挂单</w:t>
            </w:r>
          </w:p>
        </w:tc>
      </w:tr>
      <w:tr>
        <w:tc>
          <w:tcPr>
            <w:tcW w:type="dxa" w:w="2268"/>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已结算</w:t>
            </w:r>
          </w:p>
        </w:tc>
        <w:tc>
          <w:tcPr>
            <w:tcW w:type="dxa" w:w="2835"/>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已结算 + 失效说明</w:t>
            </w:r>
          </w:p>
        </w:tc>
        <w:tc>
          <w:tcPr>
            <w:tcW w:type="dxa" w:w="2665"/>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订单失效提示,引导查看其他挂单</w:t>
            </w:r>
          </w:p>
        </w:tc>
      </w:tr>
      <w:tr>
        <w:tc>
          <w:tcPr>
            <w:tcW w:type="dxa" w:w="2268"/>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赛事已开赛</w:t>
            </w:r>
          </w:p>
        </w:tc>
        <w:tc>
          <w:tcPr>
            <w:tcW w:type="dxa" w:w="2835"/>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赛事已开赛 + 失效说明</w:t>
            </w:r>
          </w:p>
        </w:tc>
        <w:tc>
          <w:tcPr>
            <w:tcW w:type="dxa" w:w="2665"/>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订单失效提示,引导查看其他挂单</w:t>
            </w:r>
          </w:p>
        </w:tc>
      </w:tr>
      <w:tr>
        <w:tc>
          <w:tcPr>
            <w:tcW w:type="dxa" w:w="2268"/>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订单不存在(兜底)</w:t>
            </w:r>
          </w:p>
        </w:tc>
        <w:tc>
          <w:tcPr>
            <w:tcW w:type="dxa" w:w="2835"/>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该挂单已不存在</w:t>
            </w:r>
          </w:p>
        </w:tc>
        <w:tc>
          <w:tcPr>
            <w:tcW w:type="dxa" w:w="2665"/>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订单失效提示,引导查看其他挂单</w:t>
            </w:r>
          </w:p>
        </w:tc>
      </w:tr>
    </w:tbl>
    <w:p>
      <w:pPr>
        <w:spacing w:after="80" w:before="60"/>
      </w:pPr>
      <w:r>
        <w:rPr>
          <w:rFonts w:ascii="微软雅黑" w:cs="微软雅黑" w:eastAsia="微软雅黑" w:hAnsi="微软雅黑"/>
          <w:color w:val="1A1A1A"/>
          <w:sz w:val="21"/>
          <w:szCs w:val="21"/>
        </w:rPr>
        <w:t xml:space="preserve">状态联动:挂单部分成交后状态维持卖出中;额度售罄后转失效;封盘后恢复收单,链接重新回到有效态并可继续投注;赛事开赛后一律转失效。</w:t>
      </w:r>
    </w:p>
    <w:p>
      <w:pPr>
        <w:pStyle w:val="Heading1"/>
        <w:spacing w:after="120" w:before="320"/>
      </w:pPr>
      <w:r>
        <w:rPr>
          <w:rFonts w:ascii="微软雅黑" w:cs="微软雅黑" w:eastAsia="微软雅黑" w:hAnsi="微软雅黑"/>
          <w:b/>
          <w:bCs/>
          <w:color w:val="1B5EBE"/>
          <w:sz w:val="34"/>
          <w:szCs w:val="34"/>
        </w:rPr>
        <w:t xml:space="preserve">八、配置项</w:t>
      </w:r>
    </w:p>
    <w:tbl>
      <w:tblPr>
        <w:tblW w:type="dxa" w:w="7768"/>
        <w:tblBorders>
          <w:top w:val="single" w:color="D0D7E3" w:sz="4"/>
          <w:left w:val="single" w:color="D0D7E3" w:sz="4"/>
          <w:bottom w:val="single" w:color="D0D7E3" w:sz="4"/>
          <w:right w:val="single" w:color="D0D7E3" w:sz="4"/>
          <w:insideH w:val="single" w:color="auto" w:sz="4"/>
          <w:insideV w:val="single" w:color="auto" w:sz="4"/>
        </w:tblBorders>
        <w:tblLayout w:type="fixed"/>
      </w:tblPr>
      <w:tblGrid>
        <w:gridCol w:w="2041"/>
        <w:gridCol w:w="1474"/>
        <w:gridCol w:w="1361"/>
        <w:gridCol w:w="2892"/>
      </w:tblGrid>
      <w:tr>
        <w:trPr>
          <w:tblHeader/>
        </w:trPr>
        <w:tc>
          <w:tcPr>
            <w:tcW w:type="dxa" w:w="2041"/>
            <w:shd w:fill="1B5EBE" w:val="clear"/>
            <w:tcMar>
              <w:top w:type="dxa" w:w="70"/>
              <w:left w:type="dxa" w:w="110"/>
              <w:bottom w:type="dxa" w:w="70"/>
              <w:right w:type="dxa" w:w="110"/>
            </w:tcMar>
            <w:vAlign w:val="center"/>
          </w:tcPr>
          <w:p>
            <w:pPr>
              <w:jc w:val="center"/>
            </w:pPr>
            <w:r>
              <w:rPr>
                <w:rFonts w:ascii="微软雅黑" w:cs="微软雅黑" w:eastAsia="微软雅黑" w:hAnsi="微软雅黑"/>
                <w:b/>
                <w:bCs/>
                <w:color w:val="FFFFFF"/>
                <w:sz w:val="19"/>
                <w:szCs w:val="19"/>
              </w:rPr>
              <w:t xml:space="preserve">配置</w:t>
            </w:r>
          </w:p>
        </w:tc>
        <w:tc>
          <w:tcPr>
            <w:tcW w:type="dxa" w:w="1474"/>
            <w:shd w:fill="1B5EBE" w:val="clear"/>
            <w:tcMar>
              <w:top w:type="dxa" w:w="70"/>
              <w:left w:type="dxa" w:w="110"/>
              <w:bottom w:type="dxa" w:w="70"/>
              <w:right w:type="dxa" w:w="110"/>
            </w:tcMar>
            <w:vAlign w:val="center"/>
          </w:tcPr>
          <w:p>
            <w:pPr>
              <w:jc w:val="center"/>
            </w:pPr>
            <w:r>
              <w:rPr>
                <w:rFonts w:ascii="微软雅黑" w:cs="微软雅黑" w:eastAsia="微软雅黑" w:hAnsi="微软雅黑"/>
                <w:b/>
                <w:bCs/>
                <w:color w:val="FFFFFF"/>
                <w:sz w:val="19"/>
                <w:szCs w:val="19"/>
              </w:rPr>
              <w:t xml:space="preserve">位置</w:t>
            </w:r>
          </w:p>
        </w:tc>
        <w:tc>
          <w:tcPr>
            <w:tcW w:type="dxa" w:w="1361"/>
            <w:shd w:fill="1B5EBE" w:val="clear"/>
            <w:tcMar>
              <w:top w:type="dxa" w:w="70"/>
              <w:left w:type="dxa" w:w="110"/>
              <w:bottom w:type="dxa" w:w="70"/>
              <w:right w:type="dxa" w:w="110"/>
            </w:tcMar>
            <w:vAlign w:val="center"/>
          </w:tcPr>
          <w:p>
            <w:pPr>
              <w:jc w:val="center"/>
            </w:pPr>
            <w:r>
              <w:rPr>
                <w:rFonts w:ascii="微软雅黑" w:cs="微软雅黑" w:eastAsia="微软雅黑" w:hAnsi="微软雅黑"/>
                <w:b/>
                <w:bCs/>
                <w:color w:val="FFFFFF"/>
                <w:sz w:val="19"/>
                <w:szCs w:val="19"/>
              </w:rPr>
              <w:t xml:space="preserve">取值与默认</w:t>
            </w:r>
          </w:p>
        </w:tc>
        <w:tc>
          <w:tcPr>
            <w:tcW w:type="dxa" w:w="2892"/>
            <w:shd w:fill="1B5EBE" w:val="clear"/>
            <w:tcMar>
              <w:top w:type="dxa" w:w="70"/>
              <w:left w:type="dxa" w:w="110"/>
              <w:bottom w:type="dxa" w:w="70"/>
              <w:right w:type="dxa" w:w="110"/>
            </w:tcMar>
            <w:vAlign w:val="center"/>
          </w:tcPr>
          <w:p>
            <w:pPr>
              <w:jc w:val="center"/>
            </w:pPr>
            <w:r>
              <w:rPr>
                <w:rFonts w:ascii="微软雅黑" w:cs="微软雅黑" w:eastAsia="微软雅黑" w:hAnsi="微软雅黑"/>
                <w:b/>
                <w:bCs/>
                <w:color w:val="FFFFFF"/>
                <w:sz w:val="19"/>
                <w:szCs w:val="19"/>
              </w:rPr>
              <w:t xml:space="preserve">说明</w:t>
            </w:r>
          </w:p>
        </w:tc>
      </w:tr>
      <w:tr>
        <w:tc>
          <w:tcPr>
            <w:tcW w:type="dxa" w:w="204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p2p_share_enabled</w:t>
            </w:r>
          </w:p>
        </w:tc>
        <w:tc>
          <w:tcPr>
            <w:tcW w:type="dxa" w:w="1474"/>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全局配置(新增)</w:t>
            </w:r>
          </w:p>
        </w:tc>
        <w:tc>
          <w:tcPr>
            <w:tcW w:type="dxa" w:w="136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0/1,默认 0</w:t>
            </w:r>
          </w:p>
        </w:tc>
        <w:tc>
          <w:tcPr>
            <w:tcW w:type="dxa" w:w="2892"/>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P2P 分享功能开关,用于灰度;关闭时分享按钮隐藏,已生成链接仍可访问并展示内容</w:t>
            </w:r>
          </w:p>
        </w:tc>
      </w:tr>
      <w:tr>
        <w:tc>
          <w:tcPr>
            <w:tcW w:type="dxa" w:w="204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p2p_share_host</w:t>
            </w:r>
          </w:p>
        </w:tc>
        <w:tc>
          <w:tcPr>
            <w:tcW w:type="dxa" w:w="1474"/>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全局配置(新增)</w:t>
            </w:r>
          </w:p>
        </w:tc>
        <w:tc>
          <w:tcPr>
            <w:tcW w:type="dxa" w:w="136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字符串</w:t>
            </w:r>
          </w:p>
        </w:tc>
        <w:tc>
          <w:tcPr>
            <w:tcW w:type="dxa" w:w="2892"/>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分享链接域名,便于环境切换与后续更换域名</w:t>
            </w:r>
          </w:p>
        </w:tc>
      </w:tr>
      <w:tr>
        <w:tc>
          <w:tcPr>
            <w:tcW w:type="dxa" w:w="204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p2p_enabled / 商户 P2P 开关</w:t>
            </w:r>
          </w:p>
        </w:tc>
        <w:tc>
          <w:tcPr>
            <w:tcW w:type="dxa" w:w="1474"/>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既有</w:t>
            </w:r>
          </w:p>
        </w:tc>
        <w:tc>
          <w:tcPr>
            <w:tcW w:type="dxa" w:w="136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0/1</w:t>
            </w:r>
          </w:p>
        </w:tc>
        <w:tc>
          <w:tcPr>
            <w:tcW w:type="dxa" w:w="2892"/>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P2P 总开关关闭时,分享按钮隐藏,已生成链接展示「功能暂不可用」</w:t>
            </w:r>
          </w:p>
        </w:tc>
      </w:tr>
    </w:tbl>
    <w:p>
      <w:pPr>
        <w:pStyle w:val="Heading1"/>
        <w:spacing w:after="120" w:before="320"/>
      </w:pPr>
      <w:r>
        <w:rPr>
          <w:rFonts w:ascii="微软雅黑" w:cs="微软雅黑" w:eastAsia="微软雅黑" w:hAnsi="微软雅黑"/>
          <w:b/>
          <w:bCs/>
          <w:color w:val="1B5EBE"/>
          <w:sz w:val="34"/>
          <w:szCs w:val="34"/>
        </w:rPr>
        <w:t xml:space="preserve">九、输入框约束与对齐</w:t>
      </w:r>
    </w:p>
    <w:p>
      <w:pPr>
        <w:spacing w:after="80" w:before="60"/>
      </w:pPr>
      <w:r>
        <w:rPr>
          <w:rFonts w:ascii="微软雅黑" w:cs="微软雅黑" w:eastAsia="微软雅黑" w:hAnsi="微软雅黑"/>
          <w:color w:val="1A1A1A"/>
          <w:sz w:val="21"/>
          <w:szCs w:val="21"/>
        </w:rPr>
        <w:t xml:space="preserve">本功能无用户输入框(链接由系统生成,不可编辑)。展示对齐沿用既有规则:金额与赔率靠右对齐,文本靠左对齐。链接文本行超长时按字符换行展示,不截断隐藏。</w:t>
      </w:r>
    </w:p>
    <w:p>
      <w:pPr>
        <w:pStyle w:val="Heading1"/>
        <w:spacing w:after="120" w:before="320"/>
      </w:pPr>
      <w:r>
        <w:rPr>
          <w:rFonts w:ascii="微软雅黑" w:cs="微软雅黑" w:eastAsia="微软雅黑" w:hAnsi="微软雅黑"/>
          <w:b/>
          <w:bCs/>
          <w:color w:val="1B5EBE"/>
          <w:sz w:val="34"/>
          <w:szCs w:val="34"/>
        </w:rPr>
        <w:t xml:space="preserve">十、默认排序</w:t>
      </w:r>
    </w:p>
    <w:p>
      <w:pPr>
        <w:spacing w:after="80" w:before="60"/>
      </w:pPr>
      <w:r>
        <w:rPr>
          <w:rFonts w:ascii="微软雅黑" w:cs="微软雅黑" w:eastAsia="微软雅黑" w:hAnsi="微软雅黑"/>
          <w:color w:val="1A1A1A"/>
          <w:sz w:val="21"/>
          <w:szCs w:val="21"/>
        </w:rPr>
        <w:t xml:space="preserve">本功能不引入新列表。分享层与内容页均为单条挂单信息,无排序需求;落地后的赛事列表与卖单簿排序沿用既有规则。</w:t>
      </w:r>
    </w:p>
    <w:p>
      <w:pPr>
        <w:pageBreakBefore/>
      </w:pPr>
    </w:p>
    <w:p>
      <w:pPr>
        <w:pStyle w:val="Heading1"/>
        <w:spacing w:after="120" w:before="320"/>
      </w:pPr>
      <w:r>
        <w:rPr>
          <w:rFonts w:ascii="微软雅黑" w:cs="微软雅黑" w:eastAsia="微软雅黑" w:hAnsi="微软雅黑"/>
          <w:b/>
          <w:bCs/>
          <w:color w:val="1B5EBE"/>
          <w:sz w:val="34"/>
          <w:szCs w:val="34"/>
        </w:rPr>
        <w:t xml:space="preserve">十一、边界场景</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同一挂单被多个庄家昵称场景不存在(挂单归属唯一庄家),昵称变更后分享内容页展示最新昵称;</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赛事临近开赛:开赛后订单按失效处理,即使庄单状态仍为卖出中,分享内容页也展示失效并阻止落地投注;</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分享链接在体育站内被点击(非从金刚/TG进入):按同一落地规则处理,不额外区分来源;</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接收方设备语言与体育站内语言不一致:分享内容页按接收方浏览器语言展示,缺省简体中文;</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已生成链接在功能开关关闭后仍被访问:展示「功能暂不可用」,不返回错误页;</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庄家在分享层停留期间挂单被买空:分享层预览数据不强制实时刷新,但接收方打开链接时取实时数据,不产生错误引导;</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接收方点击后体育处于登录态但账户被冻结:按体育既有风控规则拦截投注,落地仍可查看;</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同一接收方重复点击同一链接:每次均按实时状态重新落地,不做去重限制。</w:t>
      </w:r>
    </w:p>
    <w:p>
      <w:pPr>
        <w:pStyle w:val="Heading1"/>
        <w:spacing w:after="120" w:before="320"/>
      </w:pPr>
      <w:r>
        <w:rPr>
          <w:rFonts w:ascii="微软雅黑" w:cs="微软雅黑" w:eastAsia="微软雅黑" w:hAnsi="微软雅黑"/>
          <w:b/>
          <w:bCs/>
          <w:color w:val="1B5EBE"/>
          <w:sz w:val="34"/>
          <w:szCs w:val="34"/>
        </w:rPr>
        <w:t xml:space="preserve">十二、本期不做</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盘级(整场私盘)分享链接,仅支持单投注项庄单粒度;</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私盘(复制比赛)形态与调水能力相关的分享适配(随下一期开盘坐庄需求建设);</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分享海报图 / 二维码生成;</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分享奖励、邀请返佣、渠道归因与拉新奖励;</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分享数据后台分析页面(仅埋点上报);</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链接有效期与访问次数限制;</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买家侧注单分享(仅庄家挂单可分享);</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除金刚与 Telegram 外的其他渠道适配(微信、WhatsApp 等);</w:t>
      </w:r>
    </w:p>
    <w:p>
      <w:pPr>
        <w:spacing w:after="40" w:before="40"/>
        <w:ind w:left="340" w:hanging="170"/>
      </w:pPr>
      <w:r>
        <w:rPr>
          <w:rFonts w:ascii="微软雅黑" w:cs="微软雅黑" w:eastAsia="微软雅黑" w:hAnsi="微软雅黑"/>
          <w:b/>
          <w:bCs/>
          <w:color w:val="1B5EBE"/>
          <w:sz w:val="21"/>
          <w:szCs w:val="21"/>
        </w:rPr>
        <w:t xml:space="preserve">· </w:t>
      </w:r>
      <w:r>
        <w:rPr>
          <w:rFonts w:ascii="微软雅黑" w:cs="微软雅黑" w:eastAsia="微软雅黑" w:hAnsi="微软雅黑"/>
          <w:color w:val="1A1A1A"/>
          <w:sz w:val="21"/>
          <w:szCs w:val="21"/>
        </w:rPr>
        <w:t xml:space="preserve">接收方在 webview 内直接投注(投注一律回体育 App 完成)。</w:t>
      </w:r>
    </w:p>
    <w:p>
      <w:pPr>
        <w:pStyle w:val="Heading1"/>
        <w:spacing w:after="120" w:before="320"/>
      </w:pPr>
      <w:r>
        <w:rPr>
          <w:rFonts w:ascii="微软雅黑" w:cs="微软雅黑" w:eastAsia="微软雅黑" w:hAnsi="微软雅黑"/>
          <w:b/>
          <w:bCs/>
          <w:color w:val="1B5EBE"/>
          <w:sz w:val="34"/>
          <w:szCs w:val="34"/>
        </w:rPr>
        <w:t xml:space="preserve">十三、权限矩阵与操作日志口径</w:t>
      </w:r>
    </w:p>
    <w:p>
      <w:pPr>
        <w:pStyle w:val="Heading2"/>
        <w:pBdr>
          <w:bottom w:val="single" w:color="1B5EBE" w:sz="4" w:space="4"/>
        </w:pBdr>
        <w:spacing w:after="120" w:before="320"/>
      </w:pPr>
      <w:r>
        <w:rPr>
          <w:rFonts w:ascii="微软雅黑" w:cs="微软雅黑" w:eastAsia="微软雅黑" w:hAnsi="微软雅黑"/>
          <w:b/>
          <w:bCs/>
          <w:color w:val="1B5EBE"/>
          <w:sz w:val="27"/>
          <w:szCs w:val="27"/>
        </w:rPr>
        <w:t xml:space="preserve">13.1 功能权限矩阵</w:t>
      </w:r>
    </w:p>
    <w:tbl>
      <w:tblPr>
        <w:tblW w:type="dxa" w:w="7768"/>
        <w:tblBorders>
          <w:top w:val="single" w:color="D0D7E3" w:sz="4"/>
          <w:left w:val="single" w:color="D0D7E3" w:sz="4"/>
          <w:bottom w:val="single" w:color="D0D7E3" w:sz="4"/>
          <w:right w:val="single" w:color="D0D7E3" w:sz="4"/>
          <w:insideH w:val="single" w:color="auto" w:sz="4"/>
          <w:insideV w:val="single" w:color="auto" w:sz="4"/>
        </w:tblBorders>
        <w:tblLayout w:type="fixed"/>
      </w:tblPr>
      <w:tblGrid>
        <w:gridCol w:w="2268"/>
        <w:gridCol w:w="1474"/>
        <w:gridCol w:w="1134"/>
        <w:gridCol w:w="1134"/>
        <w:gridCol w:w="907"/>
        <w:gridCol w:w="851"/>
      </w:tblGrid>
      <w:tr>
        <w:trPr>
          <w:tblHeader/>
        </w:trPr>
        <w:tc>
          <w:tcPr>
            <w:tcW w:type="dxa" w:w="2268"/>
            <w:shd w:fill="1B5EBE" w:val="clear"/>
            <w:tcMar>
              <w:top w:type="dxa" w:w="70"/>
              <w:left w:type="dxa" w:w="110"/>
              <w:bottom w:type="dxa" w:w="70"/>
              <w:right w:type="dxa" w:w="110"/>
            </w:tcMar>
            <w:vAlign w:val="center"/>
          </w:tcPr>
          <w:p>
            <w:pPr>
              <w:jc w:val="center"/>
            </w:pPr>
            <w:r>
              <w:rPr>
                <w:rFonts w:ascii="微软雅黑" w:cs="微软雅黑" w:eastAsia="微软雅黑" w:hAnsi="微软雅黑"/>
                <w:b/>
                <w:bCs/>
                <w:color w:val="FFFFFF"/>
                <w:sz w:val="19"/>
                <w:szCs w:val="19"/>
              </w:rPr>
              <w:t xml:space="preserve">功能</w:t>
            </w:r>
          </w:p>
        </w:tc>
        <w:tc>
          <w:tcPr>
            <w:tcW w:type="dxa" w:w="1474"/>
            <w:shd w:fill="1B5EBE" w:val="clear"/>
            <w:tcMar>
              <w:top w:type="dxa" w:w="70"/>
              <w:left w:type="dxa" w:w="110"/>
              <w:bottom w:type="dxa" w:w="70"/>
              <w:right w:type="dxa" w:w="110"/>
            </w:tcMar>
            <w:vAlign w:val="center"/>
          </w:tcPr>
          <w:p>
            <w:pPr>
              <w:jc w:val="center"/>
            </w:pPr>
            <w:r>
              <w:rPr>
                <w:rFonts w:ascii="微软雅黑" w:cs="微软雅黑" w:eastAsia="微软雅黑" w:hAnsi="微软雅黑"/>
                <w:b/>
                <w:bCs/>
                <w:color w:val="FFFFFF"/>
                <w:sz w:val="19"/>
                <w:szCs w:val="19"/>
              </w:rPr>
              <w:t xml:space="preserve">庄家本人</w:t>
            </w:r>
          </w:p>
        </w:tc>
        <w:tc>
          <w:tcPr>
            <w:tcW w:type="dxa" w:w="1134"/>
            <w:shd w:fill="1B5EBE" w:val="clear"/>
            <w:tcMar>
              <w:top w:type="dxa" w:w="70"/>
              <w:left w:type="dxa" w:w="110"/>
              <w:bottom w:type="dxa" w:w="70"/>
              <w:right w:type="dxa" w:w="110"/>
            </w:tcMar>
            <w:vAlign w:val="center"/>
          </w:tcPr>
          <w:p>
            <w:pPr>
              <w:jc w:val="center"/>
            </w:pPr>
            <w:r>
              <w:rPr>
                <w:rFonts w:ascii="微软雅黑" w:cs="微软雅黑" w:eastAsia="微软雅黑" w:hAnsi="微软雅黑"/>
                <w:b/>
                <w:bCs/>
                <w:color w:val="FFFFFF"/>
                <w:sz w:val="19"/>
                <w:szCs w:val="19"/>
              </w:rPr>
              <w:t xml:space="preserve">其他会员</w:t>
            </w:r>
          </w:p>
        </w:tc>
        <w:tc>
          <w:tcPr>
            <w:tcW w:type="dxa" w:w="1134"/>
            <w:shd w:fill="1B5EBE" w:val="clear"/>
            <w:tcMar>
              <w:top w:type="dxa" w:w="70"/>
              <w:left w:type="dxa" w:w="110"/>
              <w:bottom w:type="dxa" w:w="70"/>
              <w:right w:type="dxa" w:w="110"/>
            </w:tcMar>
            <w:vAlign w:val="center"/>
          </w:tcPr>
          <w:p>
            <w:pPr>
              <w:jc w:val="center"/>
            </w:pPr>
            <w:r>
              <w:rPr>
                <w:rFonts w:ascii="微软雅黑" w:cs="微软雅黑" w:eastAsia="微软雅黑" w:hAnsi="微软雅黑"/>
                <w:b/>
                <w:bCs/>
                <w:color w:val="FFFFFF"/>
                <w:sz w:val="19"/>
                <w:szCs w:val="19"/>
              </w:rPr>
              <w:t xml:space="preserve">未登录访客</w:t>
            </w:r>
          </w:p>
        </w:tc>
        <w:tc>
          <w:tcPr>
            <w:tcW w:type="dxa" w:w="907"/>
            <w:shd w:fill="1B5EBE" w:val="clear"/>
            <w:tcMar>
              <w:top w:type="dxa" w:w="70"/>
              <w:left w:type="dxa" w:w="110"/>
              <w:bottom w:type="dxa" w:w="70"/>
              <w:right w:type="dxa" w:w="110"/>
            </w:tcMar>
            <w:vAlign w:val="center"/>
          </w:tcPr>
          <w:p>
            <w:pPr>
              <w:jc w:val="center"/>
            </w:pPr>
            <w:r>
              <w:rPr>
                <w:rFonts w:ascii="微软雅黑" w:cs="微软雅黑" w:eastAsia="微软雅黑" w:hAnsi="微软雅黑"/>
                <w:b/>
                <w:bCs/>
                <w:color w:val="FFFFFF"/>
                <w:sz w:val="19"/>
                <w:szCs w:val="19"/>
              </w:rPr>
              <w:t xml:space="preserve">运营</w:t>
            </w:r>
          </w:p>
        </w:tc>
        <w:tc>
          <w:tcPr>
            <w:tcW w:type="dxa" w:w="851"/>
            <w:shd w:fill="1B5EBE" w:val="clear"/>
            <w:tcMar>
              <w:top w:type="dxa" w:w="70"/>
              <w:left w:type="dxa" w:w="110"/>
              <w:bottom w:type="dxa" w:w="70"/>
              <w:right w:type="dxa" w:w="110"/>
            </w:tcMar>
            <w:vAlign w:val="center"/>
          </w:tcPr>
          <w:p>
            <w:pPr>
              <w:jc w:val="center"/>
            </w:pPr>
            <w:r>
              <w:rPr>
                <w:rFonts w:ascii="微软雅黑" w:cs="微软雅黑" w:eastAsia="微软雅黑" w:hAnsi="微软雅黑"/>
                <w:b/>
                <w:bCs/>
                <w:color w:val="FFFFFF"/>
                <w:sz w:val="19"/>
                <w:szCs w:val="19"/>
              </w:rPr>
              <w:t xml:space="preserve">管理员</w:t>
            </w:r>
          </w:p>
        </w:tc>
      </w:tr>
      <w:tr>
        <w:tc>
          <w:tcPr>
            <w:tcW w:type="dxa" w:w="2268"/>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生成/复制/分享挂单链接</w:t>
            </w:r>
          </w:p>
        </w:tc>
        <w:tc>
          <w:tcPr>
            <w:tcW w:type="dxa" w:w="1474"/>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可操作(仅本人挂单)</w:t>
            </w:r>
          </w:p>
        </w:tc>
        <w:tc>
          <w:tcPr>
            <w:tcW w:type="dxa" w:w="1134"/>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不可见</w:t>
            </w:r>
          </w:p>
        </w:tc>
        <w:tc>
          <w:tcPr>
            <w:tcW w:type="dxa" w:w="1134"/>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不可见</w:t>
            </w:r>
          </w:p>
        </w:tc>
        <w:tc>
          <w:tcPr>
            <w:tcW w:type="dxa" w:w="907"/>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不可见</w:t>
            </w:r>
          </w:p>
        </w:tc>
        <w:tc>
          <w:tcPr>
            <w:tcW w:type="dxa" w:w="85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不可见</w:t>
            </w:r>
          </w:p>
        </w:tc>
      </w:tr>
      <w:tr>
        <w:tc>
          <w:tcPr>
            <w:tcW w:type="dxa" w:w="2268"/>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查看分享内容页</w:t>
            </w:r>
          </w:p>
        </w:tc>
        <w:tc>
          <w:tcPr>
            <w:tcW w:type="dxa" w:w="1474"/>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可见</w:t>
            </w:r>
          </w:p>
        </w:tc>
        <w:tc>
          <w:tcPr>
            <w:tcW w:type="dxa" w:w="1134"/>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可见</w:t>
            </w:r>
          </w:p>
        </w:tc>
        <w:tc>
          <w:tcPr>
            <w:tcW w:type="dxa" w:w="1134"/>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可见</w:t>
            </w:r>
          </w:p>
        </w:tc>
        <w:tc>
          <w:tcPr>
            <w:tcW w:type="dxa" w:w="907"/>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可见</w:t>
            </w:r>
          </w:p>
        </w:tc>
        <w:tc>
          <w:tcPr>
            <w:tcW w:type="dxa" w:w="85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可见</w:t>
            </w:r>
          </w:p>
        </w:tc>
      </w:tr>
      <w:tr>
        <w:tc>
          <w:tcPr>
            <w:tcW w:type="dxa" w:w="2268"/>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落地后投注</w:t>
            </w:r>
          </w:p>
        </w:tc>
        <w:tc>
          <w:tcPr>
            <w:tcW w:type="dxa" w:w="1474"/>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可操作</w:t>
            </w:r>
          </w:p>
        </w:tc>
        <w:tc>
          <w:tcPr>
            <w:tcW w:type="dxa" w:w="1134"/>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可操作</w:t>
            </w:r>
          </w:p>
        </w:tc>
        <w:tc>
          <w:tcPr>
            <w:tcW w:type="dxa" w:w="1134"/>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需先登录</w:t>
            </w:r>
          </w:p>
        </w:tc>
        <w:tc>
          <w:tcPr>
            <w:tcW w:type="dxa" w:w="907"/>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不可操作</w:t>
            </w:r>
          </w:p>
        </w:tc>
        <w:tc>
          <w:tcPr>
            <w:tcW w:type="dxa" w:w="85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不可操作</w:t>
            </w:r>
          </w:p>
        </w:tc>
      </w:tr>
      <w:tr>
        <w:tc>
          <w:tcPr>
            <w:tcW w:type="dxa" w:w="2268"/>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分享功能开关与域名配置</w:t>
            </w:r>
          </w:p>
        </w:tc>
        <w:tc>
          <w:tcPr>
            <w:tcW w:type="dxa" w:w="1474"/>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不可见</w:t>
            </w:r>
          </w:p>
        </w:tc>
        <w:tc>
          <w:tcPr>
            <w:tcW w:type="dxa" w:w="1134"/>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不可见</w:t>
            </w:r>
          </w:p>
        </w:tc>
        <w:tc>
          <w:tcPr>
            <w:tcW w:type="dxa" w:w="1134"/>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不可见</w:t>
            </w:r>
          </w:p>
        </w:tc>
        <w:tc>
          <w:tcPr>
            <w:tcW w:type="dxa" w:w="907"/>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不可编辑</w:t>
            </w:r>
          </w:p>
        </w:tc>
        <w:tc>
          <w:tcPr>
            <w:tcW w:type="dxa" w:w="85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可编辑</w:t>
            </w:r>
          </w:p>
        </w:tc>
      </w:tr>
    </w:tbl>
    <w:p>
      <w:pPr>
        <w:pStyle w:val="Heading2"/>
        <w:pBdr>
          <w:bottom w:val="single" w:color="1B5EBE" w:sz="4" w:space="4"/>
        </w:pBdr>
        <w:spacing w:after="120" w:before="320"/>
      </w:pPr>
      <w:r>
        <w:rPr>
          <w:rFonts w:ascii="微软雅黑" w:cs="微软雅黑" w:eastAsia="微软雅黑" w:hAnsi="微软雅黑"/>
          <w:b/>
          <w:bCs/>
          <w:color w:val="1B5EBE"/>
          <w:sz w:val="27"/>
          <w:szCs w:val="27"/>
        </w:rPr>
        <w:t xml:space="preserve">13.2 操作日志口径</w:t>
      </w:r>
    </w:p>
    <w:p>
      <w:pPr>
        <w:spacing w:after="80" w:before="60"/>
      </w:pPr>
      <w:r>
        <w:rPr>
          <w:rFonts w:ascii="微软雅黑" w:cs="微软雅黑" w:eastAsia="微软雅黑" w:hAnsi="微软雅黑"/>
          <w:color w:val="1A1A1A"/>
          <w:sz w:val="21"/>
          <w:szCs w:val="21"/>
        </w:rPr>
        <w:t xml:space="preserve">庄家生成与分享链接属查询类行为,不写入操盘日志。配置项(p2p_share_enabled、p2p_share_host)的变更写入既有全局配置操作日志:渠道 = PC、模块 = 全局配置、操作 = 更新、变更类别 =「配置【配置 key】」、变更人 = 操作账号、原始值 / 变更值。</w:t>
      </w:r>
    </w:p>
    <w:p>
      <w:pPr>
        <w:pStyle w:val="Heading1"/>
        <w:spacing w:after="120" w:before="320"/>
      </w:pPr>
      <w:r>
        <w:rPr>
          <w:rFonts w:ascii="微软雅黑" w:cs="微软雅黑" w:eastAsia="微软雅黑" w:hAnsi="微软雅黑"/>
          <w:b/>
          <w:bCs/>
          <w:color w:val="1B5EBE"/>
          <w:sz w:val="34"/>
          <w:szCs w:val="34"/>
        </w:rPr>
        <w:t xml:space="preserve">十四、名词解释</w:t>
      </w:r>
    </w:p>
    <w:tbl>
      <w:tblPr>
        <w:tblW w:type="dxa" w:w="7768"/>
        <w:tblBorders>
          <w:top w:val="single" w:color="D0D7E3" w:sz="4"/>
          <w:left w:val="single" w:color="D0D7E3" w:sz="4"/>
          <w:bottom w:val="single" w:color="D0D7E3" w:sz="4"/>
          <w:right w:val="single" w:color="D0D7E3" w:sz="4"/>
          <w:insideH w:val="single" w:color="auto" w:sz="4"/>
          <w:insideV w:val="single" w:color="auto" w:sz="4"/>
        </w:tblBorders>
        <w:tblLayout w:type="fixed"/>
      </w:tblPr>
      <w:tblGrid>
        <w:gridCol w:w="1701"/>
        <w:gridCol w:w="6067"/>
      </w:tblGrid>
      <w:tr>
        <w:trPr>
          <w:tblHeader/>
        </w:trPr>
        <w:tc>
          <w:tcPr>
            <w:tcW w:type="dxa" w:w="1701"/>
            <w:shd w:fill="1B5EBE" w:val="clear"/>
            <w:tcMar>
              <w:top w:type="dxa" w:w="70"/>
              <w:left w:type="dxa" w:w="110"/>
              <w:bottom w:type="dxa" w:w="70"/>
              <w:right w:type="dxa" w:w="110"/>
            </w:tcMar>
            <w:vAlign w:val="center"/>
          </w:tcPr>
          <w:p>
            <w:pPr>
              <w:jc w:val="center"/>
            </w:pPr>
            <w:r>
              <w:rPr>
                <w:rFonts w:ascii="微软雅黑" w:cs="微软雅黑" w:eastAsia="微软雅黑" w:hAnsi="微软雅黑"/>
                <w:b/>
                <w:bCs/>
                <w:color w:val="FFFFFF"/>
                <w:sz w:val="19"/>
                <w:szCs w:val="19"/>
              </w:rPr>
              <w:t xml:space="preserve">名词</w:t>
            </w:r>
          </w:p>
        </w:tc>
        <w:tc>
          <w:tcPr>
            <w:tcW w:type="dxa" w:w="6067"/>
            <w:shd w:fill="1B5EBE" w:val="clear"/>
            <w:tcMar>
              <w:top w:type="dxa" w:w="70"/>
              <w:left w:type="dxa" w:w="110"/>
              <w:bottom w:type="dxa" w:w="70"/>
              <w:right w:type="dxa" w:w="110"/>
            </w:tcMar>
            <w:vAlign w:val="center"/>
          </w:tcPr>
          <w:p>
            <w:pPr>
              <w:jc w:val="center"/>
            </w:pPr>
            <w:r>
              <w:rPr>
                <w:rFonts w:ascii="微软雅黑" w:cs="微软雅黑" w:eastAsia="微软雅黑" w:hAnsi="微软雅黑"/>
                <w:b/>
                <w:bCs/>
                <w:color w:val="FFFFFF"/>
                <w:sz w:val="19"/>
                <w:szCs w:val="19"/>
              </w:rPr>
              <w:t xml:space="preserve">说明</w:t>
            </w:r>
          </w:p>
        </w:tc>
      </w:tr>
      <w:tr>
        <w:tc>
          <w:tcPr>
            <w:tcW w:type="dxa" w:w="170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分享链接</w:t>
            </w:r>
          </w:p>
        </w:tc>
        <w:tc>
          <w:tcPr>
            <w:tcW w:type="dxa" w:w="6067"/>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携带庄单ID 的公开可访问链接,用于在金刚或 TG 中展示挂单内容</w:t>
            </w:r>
          </w:p>
        </w:tc>
      </w:tr>
      <w:tr>
        <w:tc>
          <w:tcPr>
            <w:tcW w:type="dxa" w:w="170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分享内容页</w:t>
            </w:r>
          </w:p>
        </w:tc>
        <w:tc>
          <w:tcPr>
            <w:tcW w:type="dxa" w:w="6067"/>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分享链接指向的只读内容页,在金刚/TG 的 webview 中渲染</w:t>
            </w:r>
          </w:p>
        </w:tc>
      </w:tr>
      <w:tr>
        <w:tc>
          <w:tcPr>
            <w:tcW w:type="dxa" w:w="170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webview 消息体</w:t>
            </w:r>
          </w:p>
        </w:tc>
        <w:tc>
          <w:tcPr>
            <w:tcW w:type="dxa" w:w="6067"/>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金刚会话中承载分享内容页的消息形态,由金刚生成与渲染</w:t>
            </w:r>
          </w:p>
        </w:tc>
      </w:tr>
      <w:tr>
        <w:tc>
          <w:tcPr>
            <w:tcW w:type="dxa" w:w="170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落地</w:t>
            </w:r>
          </w:p>
        </w:tc>
        <w:tc>
          <w:tcPr>
            <w:tcW w:type="dxa" w:w="6067"/>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接收方从 webview 点击后唤起体育 App 并按订单状态进入对应页面的过程</w:t>
            </w:r>
          </w:p>
        </w:tc>
      </w:tr>
      <w:tr>
        <w:tc>
          <w:tcPr>
            <w:tcW w:type="dxa" w:w="170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订单失效</w:t>
            </w:r>
          </w:p>
        </w:tc>
        <w:tc>
          <w:tcPr>
            <w:tcW w:type="dxa" w:w="6067"/>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挂单处于已售罄/已封盘/已关闭/已结算,或赛事已开赛(共 5 种),不可再被买入;数据不存在时按兜底态处理</w:t>
            </w:r>
          </w:p>
        </w:tc>
      </w:tr>
    </w:tbl>
    <w:p>
      <w:pPr>
        <w:pageBreakBefore/>
      </w:pPr>
    </w:p>
    <w:p>
      <w:pPr>
        <w:pStyle w:val="Heading1"/>
        <w:spacing w:after="120" w:before="320"/>
      </w:pPr>
      <w:r>
        <w:rPr>
          <w:rFonts w:ascii="微软雅黑" w:cs="微软雅黑" w:eastAsia="微软雅黑" w:hAnsi="微软雅黑"/>
          <w:b/>
          <w:bCs/>
          <w:color w:val="1B5EBE"/>
          <w:sz w:val="34"/>
          <w:szCs w:val="34"/>
        </w:rPr>
        <w:t xml:space="preserve">十五、验收标准(Given / When / Then)</w:t>
      </w:r>
    </w:p>
    <w:tbl>
      <w:tblPr>
        <w:tblW w:type="dxa" w:w="7768"/>
        <w:tblBorders>
          <w:top w:val="single" w:color="D0D7E3" w:sz="4"/>
          <w:left w:val="single" w:color="D0D7E3" w:sz="4"/>
          <w:bottom w:val="single" w:color="D0D7E3" w:sz="4"/>
          <w:right w:val="single" w:color="D0D7E3" w:sz="4"/>
          <w:insideH w:val="single" w:color="auto" w:sz="4"/>
          <w:insideV w:val="single" w:color="auto" w:sz="4"/>
        </w:tblBorders>
        <w:tblLayout w:type="fixed"/>
      </w:tblPr>
      <w:tblGrid>
        <w:gridCol w:w="1588"/>
        <w:gridCol w:w="6180"/>
      </w:tblGrid>
      <w:tr>
        <w:trPr>
          <w:tblHeader/>
        </w:trPr>
        <w:tc>
          <w:tcPr>
            <w:tcW w:type="dxa" w:w="1588"/>
            <w:shd w:fill="1B5EBE" w:val="clear"/>
            <w:tcMar>
              <w:top w:type="dxa" w:w="70"/>
              <w:left w:type="dxa" w:w="110"/>
              <w:bottom w:type="dxa" w:w="70"/>
              <w:right w:type="dxa" w:w="110"/>
            </w:tcMar>
            <w:vAlign w:val="center"/>
          </w:tcPr>
          <w:p>
            <w:pPr>
              <w:jc w:val="center"/>
            </w:pPr>
            <w:r>
              <w:rPr>
                <w:rFonts w:ascii="微软雅黑" w:cs="微软雅黑" w:eastAsia="微软雅黑" w:hAnsi="微软雅黑"/>
                <w:b/>
                <w:bCs/>
                <w:color w:val="FFFFFF"/>
                <w:sz w:val="19"/>
                <w:szCs w:val="19"/>
              </w:rPr>
              <w:t xml:space="preserve">场景</w:t>
            </w:r>
          </w:p>
        </w:tc>
        <w:tc>
          <w:tcPr>
            <w:tcW w:type="dxa" w:w="6180"/>
            <w:shd w:fill="1B5EBE" w:val="clear"/>
            <w:tcMar>
              <w:top w:type="dxa" w:w="70"/>
              <w:left w:type="dxa" w:w="110"/>
              <w:bottom w:type="dxa" w:w="70"/>
              <w:right w:type="dxa" w:w="110"/>
            </w:tcMar>
            <w:vAlign w:val="center"/>
          </w:tcPr>
          <w:p>
            <w:pPr>
              <w:jc w:val="center"/>
            </w:pPr>
            <w:r>
              <w:rPr>
                <w:rFonts w:ascii="微软雅黑" w:cs="微软雅黑" w:eastAsia="微软雅黑" w:hAnsi="微软雅黑"/>
                <w:b/>
                <w:bCs/>
                <w:color w:val="FFFFFF"/>
                <w:sz w:val="19"/>
                <w:szCs w:val="19"/>
              </w:rPr>
              <w:t xml:space="preserve">Given / When / Then</w:t>
            </w:r>
          </w:p>
        </w:tc>
      </w:tr>
      <w:tr>
        <w:tc>
          <w:tcPr>
            <w:tcW w:type="dxa" w:w="1588"/>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生成分享链接</w:t>
            </w:r>
          </w:p>
        </w:tc>
        <w:tc>
          <w:tcPr>
            <w:tcW w:type="dxa" w:w="6180"/>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Given 庄家有一个卖出中的投注项庄单;When 在我的卖出点击该庄单的「分享」;Then 弹出分享层,展示与接收方一致的内容预览、含庄单ID 的链接,以及复制、分享到金刚、分享到 TG 三个操作</w:t>
            </w:r>
          </w:p>
        </w:tc>
      </w:tr>
      <w:tr>
        <w:tc>
          <w:tcPr>
            <w:tcW w:type="dxa" w:w="1588"/>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失效单无分享入口</w:t>
            </w:r>
          </w:p>
        </w:tc>
        <w:tc>
          <w:tcPr>
            <w:tcW w:type="dxa" w:w="6180"/>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Given 某挂单状态为已售罄/已封盘/已关闭/已结算;When 庄家查看我的卖出该挂单卡片;Then 不展示「分享」按钮</w:t>
            </w:r>
          </w:p>
        </w:tc>
      </w:tr>
      <w:tr>
        <w:tc>
          <w:tcPr>
            <w:tcW w:type="dxa" w:w="1588"/>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复制链接</w:t>
            </w:r>
          </w:p>
        </w:tc>
        <w:tc>
          <w:tcPr>
            <w:tcW w:type="dxa" w:w="6180"/>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Given 分享层已打开;When 点击「复制」;Then 完整链接写入剪贴板并提示「链接已复制」</w:t>
            </w:r>
          </w:p>
        </w:tc>
      </w:tr>
      <w:tr>
        <w:tc>
          <w:tcPr>
            <w:tcW w:type="dxa" w:w="1588"/>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内容页字段完整</w:t>
            </w:r>
          </w:p>
        </w:tc>
        <w:tc>
          <w:tcPr>
            <w:tcW w:type="dxa" w:w="6180"/>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Given 一个卖出中的挂单链接;When 在 webview 中打开;Then 依次展示 KING KONG 标识、联赛与开赛时间、主客队、玩法、投注项、庄单赔率(港盘)、庄家、挂单状态「卖出中」、信息更新时间与「立即前往投注」</w:t>
            </w:r>
          </w:p>
        </w:tc>
      </w:tr>
      <w:tr>
        <w:tc>
          <w:tcPr>
            <w:tcW w:type="dxa" w:w="1588"/>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不暴露额度</w:t>
            </w:r>
          </w:p>
        </w:tc>
        <w:tc>
          <w:tcPr>
            <w:tcW w:type="dxa" w:w="6180"/>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Given 任一挂单链接;When 在 webview 中打开;Then 页面不出现剩余可卖额度、押金或任何庄家资金金额</w:t>
            </w:r>
          </w:p>
        </w:tc>
      </w:tr>
      <w:tr>
        <w:tc>
          <w:tcPr>
            <w:tcW w:type="dxa" w:w="1588"/>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内容实时更新</w:t>
            </w:r>
          </w:p>
        </w:tc>
        <w:tc>
          <w:tcPr>
            <w:tcW w:type="dxa" w:w="6180"/>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Given 接收方已看过某链接且当时为卖出中;When 该挂单被买空后接收方重新获取该链接;Then 状态展示为已售罄并给出失效说明,不展示旧的卖出中状态</w:t>
            </w:r>
          </w:p>
        </w:tc>
      </w:tr>
      <w:tr>
        <w:tc>
          <w:tcPr>
            <w:tcW w:type="dxa" w:w="1588"/>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有效单落地</w:t>
            </w:r>
          </w:p>
        </w:tc>
        <w:tc>
          <w:tcPr>
            <w:tcW w:type="dxa" w:w="6180"/>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Given 挂单为卖出中、仍有可卖额度且赛事未开赛;When 接收方点击 webview 唤起体育;Then 进入该赛事,该投注项呈选中态,购物车弹层自动弹出并带入该投注项及其卖单簿</w:t>
            </w:r>
          </w:p>
        </w:tc>
      </w:tr>
      <w:tr>
        <w:tc>
          <w:tcPr>
            <w:tcW w:type="dxa" w:w="1588"/>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售罄落地</w:t>
            </w:r>
          </w:p>
        </w:tc>
        <w:tc>
          <w:tcPr>
            <w:tcW w:type="dxa" w:w="6180"/>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Given 挂单已售罄;When 接收方点击 webview 唤起体育;Then 不弹出购物车,弹出「订单已失效」提示并说明已售罄,提供「查看其他 P2P 挂单」</w:t>
            </w:r>
          </w:p>
        </w:tc>
      </w:tr>
      <w:tr>
        <w:tc>
          <w:tcPr>
            <w:tcW w:type="dxa" w:w="1588"/>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引导查看其他挂单</w:t>
            </w:r>
          </w:p>
        </w:tc>
        <w:tc>
          <w:tcPr>
            <w:tcW w:type="dxa" w:w="6180"/>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Given 已弹出订单失效提示;When 点击「查看其他 P2P 挂单」;Then 关闭弹窗并展示存在 P2P 挂单的赛事列表</w:t>
            </w:r>
          </w:p>
        </w:tc>
      </w:tr>
      <w:tr>
        <w:tc>
          <w:tcPr>
            <w:tcW w:type="dxa" w:w="1588"/>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赛事已开赛</w:t>
            </w:r>
          </w:p>
        </w:tc>
        <w:tc>
          <w:tcPr>
            <w:tcW w:type="dxa" w:w="6180"/>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Given 挂单状态仍为卖出中但赛事已开赛;When 打开链接或点击落地;Then 状态展示「赛事已开赛」并按失效处理,不进入购物车</w:t>
            </w:r>
          </w:p>
        </w:tc>
      </w:tr>
      <w:tr>
        <w:tc>
          <w:tcPr>
            <w:tcW w:type="dxa" w:w="1588"/>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查看时有效落地时失效</w:t>
            </w:r>
          </w:p>
        </w:tc>
        <w:tc>
          <w:tcPr>
            <w:tcW w:type="dxa" w:w="6180"/>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Given webview 展示为卖出中;When 接收方点击前该挂单被买空,点击后唤起体育;Then 按已售罄走失效提示,不进入购物车</w:t>
            </w:r>
          </w:p>
        </w:tc>
      </w:tr>
      <w:tr>
        <w:tc>
          <w:tcPr>
            <w:tcW w:type="dxa" w:w="1588"/>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失效单内容页</w:t>
            </w:r>
          </w:p>
        </w:tc>
        <w:tc>
          <w:tcPr>
            <w:tcW w:type="dxa" w:w="6180"/>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Given 挂单已封盘;When 打开链接;Then 状态展示「已封盘」并给出失效说明,主按钮为「前往查看其他挂单」,不展示剩余可卖额度</w:t>
            </w:r>
          </w:p>
        </w:tc>
      </w:tr>
      <w:tr>
        <w:tc>
          <w:tcPr>
            <w:tcW w:type="dxa" w:w="1588"/>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封盘后恢复</w:t>
            </w:r>
          </w:p>
        </w:tc>
        <w:tc>
          <w:tcPr>
            <w:tcW w:type="dxa" w:w="6180"/>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Given 挂单曾封盘且链接展示失效;When 庄家恢复开盘后重新打开同一链接;Then 状态回到「卖出中」,可正常落地投注</w:t>
            </w:r>
          </w:p>
        </w:tc>
      </w:tr>
      <w:tr>
        <w:tc>
          <w:tcPr>
            <w:tcW w:type="dxa" w:w="1588"/>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功能开关关闭</w:t>
            </w:r>
          </w:p>
        </w:tc>
        <w:tc>
          <w:tcPr>
            <w:tcW w:type="dxa" w:w="6180"/>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Given p2p_share_enabled = 0;When 庄家进入开盘详情;Then 不展示「分享」按钮;已生成链接打开时展示「功能暂不可用」</w:t>
            </w:r>
          </w:p>
        </w:tc>
      </w:tr>
      <w:tr>
        <w:tc>
          <w:tcPr>
            <w:tcW w:type="dxa" w:w="1588"/>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未登录落地</w:t>
            </w:r>
          </w:p>
        </w:tc>
        <w:tc>
          <w:tcPr>
            <w:tcW w:type="dxa" w:w="6180"/>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Given 接收方未登录体育;When 点击 webview 唤起体育;Then 引导登录,登录成功后继续定位该投注项并弹出购物车;取消登录则停留赛事列表</w:t>
            </w:r>
          </w:p>
        </w:tc>
      </w:tr>
      <w:tr>
        <w:tc>
          <w:tcPr>
            <w:tcW w:type="dxa" w:w="1588"/>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买入本人挂单</w:t>
            </w:r>
          </w:p>
        </w:tc>
        <w:tc>
          <w:tcPr>
            <w:tcW w:type="dxa" w:w="6180"/>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Given 接收方即为分享者本人;When 落地后输入金额投注;Then 允许成交,与既有卖单簿规则一致</w:t>
            </w:r>
          </w:p>
        </w:tc>
      </w:tr>
    </w:tbl>
    <w:p>
      <w:pPr>
        <w:pStyle w:val="Heading1"/>
        <w:spacing w:after="120" w:before="320"/>
      </w:pPr>
      <w:r>
        <w:rPr>
          <w:rFonts w:ascii="微软雅黑" w:cs="微软雅黑" w:eastAsia="微软雅黑" w:hAnsi="微软雅黑"/>
          <w:b/>
          <w:bCs/>
          <w:color w:val="1B5EBE"/>
          <w:sz w:val="34"/>
          <w:szCs w:val="34"/>
        </w:rPr>
        <w:t xml:space="preserve">十六、i18n 界面文案清单(本期新增)</w:t>
      </w:r>
    </w:p>
    <w:tbl>
      <w:tblPr>
        <w:tblW w:type="dxa" w:w="7768"/>
        <w:tblBorders>
          <w:top w:val="single" w:color="D0D7E3" w:sz="4"/>
          <w:left w:val="single" w:color="D0D7E3" w:sz="4"/>
          <w:bottom w:val="single" w:color="D0D7E3" w:sz="4"/>
          <w:right w:val="single" w:color="D0D7E3" w:sz="4"/>
          <w:insideH w:val="single" w:color="auto" w:sz="4"/>
          <w:insideV w:val="single" w:color="auto" w:sz="4"/>
        </w:tblBorders>
        <w:tblLayout w:type="fixed"/>
      </w:tblPr>
      <w:tblGrid>
        <w:gridCol w:w="2381"/>
        <w:gridCol w:w="4196"/>
        <w:gridCol w:w="1191"/>
      </w:tblGrid>
      <w:tr>
        <w:trPr>
          <w:tblHeader/>
        </w:trPr>
        <w:tc>
          <w:tcPr>
            <w:tcW w:type="dxa" w:w="2381"/>
            <w:shd w:fill="1B5EBE" w:val="clear"/>
            <w:tcMar>
              <w:top w:type="dxa" w:w="70"/>
              <w:left w:type="dxa" w:w="110"/>
              <w:bottom w:type="dxa" w:w="70"/>
              <w:right w:type="dxa" w:w="110"/>
            </w:tcMar>
            <w:vAlign w:val="center"/>
          </w:tcPr>
          <w:p>
            <w:pPr>
              <w:jc w:val="center"/>
            </w:pPr>
            <w:r>
              <w:rPr>
                <w:rFonts w:ascii="微软雅黑" w:cs="微软雅黑" w:eastAsia="微软雅黑" w:hAnsi="微软雅黑"/>
                <w:b/>
                <w:bCs/>
                <w:color w:val="FFFFFF"/>
                <w:sz w:val="19"/>
                <w:szCs w:val="19"/>
              </w:rPr>
              <w:t xml:space="preserve">key</w:t>
            </w:r>
          </w:p>
        </w:tc>
        <w:tc>
          <w:tcPr>
            <w:tcW w:type="dxa" w:w="4196"/>
            <w:shd w:fill="1B5EBE" w:val="clear"/>
            <w:tcMar>
              <w:top w:type="dxa" w:w="70"/>
              <w:left w:type="dxa" w:w="110"/>
              <w:bottom w:type="dxa" w:w="70"/>
              <w:right w:type="dxa" w:w="110"/>
            </w:tcMar>
            <w:vAlign w:val="center"/>
          </w:tcPr>
          <w:p>
            <w:pPr>
              <w:jc w:val="center"/>
            </w:pPr>
            <w:r>
              <w:rPr>
                <w:rFonts w:ascii="微软雅黑" w:cs="微软雅黑" w:eastAsia="微软雅黑" w:hAnsi="微软雅黑"/>
                <w:b/>
                <w:bCs/>
                <w:color w:val="FFFFFF"/>
                <w:sz w:val="19"/>
                <w:szCs w:val="19"/>
              </w:rPr>
              <w:t xml:space="preserve">中文文案</w:t>
            </w:r>
          </w:p>
        </w:tc>
        <w:tc>
          <w:tcPr>
            <w:tcW w:type="dxa" w:w="1191"/>
            <w:shd w:fill="1B5EBE" w:val="clear"/>
            <w:tcMar>
              <w:top w:type="dxa" w:w="70"/>
              <w:left w:type="dxa" w:w="110"/>
              <w:bottom w:type="dxa" w:w="70"/>
              <w:right w:type="dxa" w:w="110"/>
            </w:tcMar>
            <w:vAlign w:val="center"/>
          </w:tcPr>
          <w:p>
            <w:pPr>
              <w:jc w:val="center"/>
            </w:pPr>
            <w:r>
              <w:rPr>
                <w:rFonts w:ascii="微软雅黑" w:cs="微软雅黑" w:eastAsia="微软雅黑" w:hAnsi="微软雅黑"/>
                <w:b/>
                <w:bCs/>
                <w:color w:val="FFFFFF"/>
                <w:sz w:val="19"/>
                <w:szCs w:val="19"/>
              </w:rPr>
              <w:t xml:space="preserve">占位符</w:t>
            </w:r>
          </w:p>
        </w:tc>
      </w:tr>
      <w:tr>
        <w:tc>
          <w:tcPr>
            <w:tcW w:type="dxa" w:w="238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p2p.share.entry</w:t>
            </w:r>
          </w:p>
        </w:tc>
        <w:tc>
          <w:tcPr>
            <w:tcW w:type="dxa" w:w="4196"/>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分享</w:t>
            </w:r>
          </w:p>
        </w:tc>
        <w:tc>
          <w:tcPr>
            <w:tcW w:type="dxa" w:w="119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w:t>
            </w:r>
          </w:p>
        </w:tc>
      </w:tr>
      <w:tr>
        <w:tc>
          <w:tcPr>
            <w:tcW w:type="dxa" w:w="238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p2p.share.title</w:t>
            </w:r>
          </w:p>
        </w:tc>
        <w:tc>
          <w:tcPr>
            <w:tcW w:type="dxa" w:w="4196"/>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分享 P2P 挂单</w:t>
            </w:r>
          </w:p>
        </w:tc>
        <w:tc>
          <w:tcPr>
            <w:tcW w:type="dxa" w:w="119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w:t>
            </w:r>
          </w:p>
        </w:tc>
      </w:tr>
      <w:tr>
        <w:tc>
          <w:tcPr>
            <w:tcW w:type="dxa" w:w="238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p2p.share.copy</w:t>
            </w:r>
          </w:p>
        </w:tc>
        <w:tc>
          <w:tcPr>
            <w:tcW w:type="dxa" w:w="4196"/>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复制</w:t>
            </w:r>
          </w:p>
        </w:tc>
        <w:tc>
          <w:tcPr>
            <w:tcW w:type="dxa" w:w="119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w:t>
            </w:r>
          </w:p>
        </w:tc>
      </w:tr>
      <w:tr>
        <w:tc>
          <w:tcPr>
            <w:tcW w:type="dxa" w:w="238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p2p.share.copied</w:t>
            </w:r>
          </w:p>
        </w:tc>
        <w:tc>
          <w:tcPr>
            <w:tcW w:type="dxa" w:w="4196"/>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链接已复制</w:t>
            </w:r>
          </w:p>
        </w:tc>
        <w:tc>
          <w:tcPr>
            <w:tcW w:type="dxa" w:w="119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w:t>
            </w:r>
          </w:p>
        </w:tc>
      </w:tr>
      <w:tr>
        <w:tc>
          <w:tcPr>
            <w:tcW w:type="dxa" w:w="238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p2p.share.toKK</w:t>
            </w:r>
          </w:p>
        </w:tc>
        <w:tc>
          <w:tcPr>
            <w:tcW w:type="dxa" w:w="4196"/>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分享到金刚</w:t>
            </w:r>
          </w:p>
        </w:tc>
        <w:tc>
          <w:tcPr>
            <w:tcW w:type="dxa" w:w="119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w:t>
            </w:r>
          </w:p>
        </w:tc>
      </w:tr>
      <w:tr>
        <w:tc>
          <w:tcPr>
            <w:tcW w:type="dxa" w:w="238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p2p.share.toTG</w:t>
            </w:r>
          </w:p>
        </w:tc>
        <w:tc>
          <w:tcPr>
            <w:tcW w:type="dxa" w:w="4196"/>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分享到 Telegram</w:t>
            </w:r>
          </w:p>
        </w:tc>
        <w:tc>
          <w:tcPr>
            <w:tcW w:type="dxa" w:w="119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w:t>
            </w:r>
          </w:p>
        </w:tc>
      </w:tr>
      <w:tr>
        <w:tc>
          <w:tcPr>
            <w:tcW w:type="dxa" w:w="238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p2p.share.page.brand</w:t>
            </w:r>
          </w:p>
        </w:tc>
        <w:tc>
          <w:tcPr>
            <w:tcW w:type="dxa" w:w="4196"/>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KING KONG 体育 · P2P</w:t>
            </w:r>
          </w:p>
        </w:tc>
        <w:tc>
          <w:tcPr>
            <w:tcW w:type="dxa" w:w="119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w:t>
            </w:r>
          </w:p>
        </w:tc>
      </w:tr>
      <w:tr>
        <w:tc>
          <w:tcPr>
            <w:tcW w:type="dxa" w:w="238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p2p.share.page.play</w:t>
            </w:r>
          </w:p>
        </w:tc>
        <w:tc>
          <w:tcPr>
            <w:tcW w:type="dxa" w:w="4196"/>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玩法</w:t>
            </w:r>
          </w:p>
        </w:tc>
        <w:tc>
          <w:tcPr>
            <w:tcW w:type="dxa" w:w="119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w:t>
            </w:r>
          </w:p>
        </w:tc>
      </w:tr>
      <w:tr>
        <w:tc>
          <w:tcPr>
            <w:tcW w:type="dxa" w:w="238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p2p.share.page.item</w:t>
            </w:r>
          </w:p>
        </w:tc>
        <w:tc>
          <w:tcPr>
            <w:tcW w:type="dxa" w:w="4196"/>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投注项</w:t>
            </w:r>
          </w:p>
        </w:tc>
        <w:tc>
          <w:tcPr>
            <w:tcW w:type="dxa" w:w="119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w:t>
            </w:r>
          </w:p>
        </w:tc>
      </w:tr>
      <w:tr>
        <w:tc>
          <w:tcPr>
            <w:tcW w:type="dxa" w:w="238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p2p.share.page.odds</w:t>
            </w:r>
          </w:p>
        </w:tc>
        <w:tc>
          <w:tcPr>
            <w:tcW w:type="dxa" w:w="4196"/>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庄单赔率</w:t>
            </w:r>
          </w:p>
        </w:tc>
        <w:tc>
          <w:tcPr>
            <w:tcW w:type="dxa" w:w="119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w:t>
            </w:r>
          </w:p>
        </w:tc>
      </w:tr>
      <w:tr>
        <w:tc>
          <w:tcPr>
            <w:tcW w:type="dxa" w:w="238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p2p.share.page.banker</w:t>
            </w:r>
          </w:p>
        </w:tc>
        <w:tc>
          <w:tcPr>
            <w:tcW w:type="dxa" w:w="4196"/>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庄家</w:t>
            </w:r>
          </w:p>
        </w:tc>
        <w:tc>
          <w:tcPr>
            <w:tcW w:type="dxa" w:w="119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w:t>
            </w:r>
          </w:p>
        </w:tc>
      </w:tr>
      <w:tr>
        <w:tc>
          <w:tcPr>
            <w:tcW w:type="dxa" w:w="238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p2p.share.page.status</w:t>
            </w:r>
          </w:p>
        </w:tc>
        <w:tc>
          <w:tcPr>
            <w:tcW w:type="dxa" w:w="4196"/>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挂单状态</w:t>
            </w:r>
          </w:p>
        </w:tc>
        <w:tc>
          <w:tcPr>
            <w:tcW w:type="dxa" w:w="119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w:t>
            </w:r>
          </w:p>
        </w:tc>
      </w:tr>
      <w:tr>
        <w:tc>
          <w:tcPr>
            <w:tcW w:type="dxa" w:w="238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p2p.share.page.updated</w:t>
            </w:r>
          </w:p>
        </w:tc>
        <w:tc>
          <w:tcPr>
            <w:tcW w:type="dxa" w:w="4196"/>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信息更新时间 {time} · 每次打开自动获取最新信息</w:t>
            </w:r>
          </w:p>
        </w:tc>
        <w:tc>
          <w:tcPr>
            <w:tcW w:type="dxa" w:w="119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time</w:t>
            </w:r>
          </w:p>
        </w:tc>
      </w:tr>
      <w:tr>
        <w:tc>
          <w:tcPr>
            <w:tcW w:type="dxa" w:w="238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p2p.share.page.goBet</w:t>
            </w:r>
          </w:p>
        </w:tc>
        <w:tc>
          <w:tcPr>
            <w:tcW w:type="dxa" w:w="4196"/>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立即前往投注</w:t>
            </w:r>
          </w:p>
        </w:tc>
        <w:tc>
          <w:tcPr>
            <w:tcW w:type="dxa" w:w="119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w:t>
            </w:r>
          </w:p>
        </w:tc>
      </w:tr>
      <w:tr>
        <w:tc>
          <w:tcPr>
            <w:tcW w:type="dxa" w:w="238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p2p.share.page.goOther</w:t>
            </w:r>
          </w:p>
        </w:tc>
        <w:tc>
          <w:tcPr>
            <w:tcW w:type="dxa" w:w="4196"/>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前往查看其他挂单</w:t>
            </w:r>
          </w:p>
        </w:tc>
        <w:tc>
          <w:tcPr>
            <w:tcW w:type="dxa" w:w="119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w:t>
            </w:r>
          </w:p>
        </w:tc>
      </w:tr>
      <w:tr>
        <w:tc>
          <w:tcPr>
            <w:tcW w:type="dxa" w:w="238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p2p.share.state.selling</w:t>
            </w:r>
          </w:p>
        </w:tc>
        <w:tc>
          <w:tcPr>
            <w:tcW w:type="dxa" w:w="4196"/>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卖出中</w:t>
            </w:r>
          </w:p>
        </w:tc>
        <w:tc>
          <w:tcPr>
            <w:tcW w:type="dxa" w:w="119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w:t>
            </w:r>
          </w:p>
        </w:tc>
      </w:tr>
      <w:tr>
        <w:tc>
          <w:tcPr>
            <w:tcW w:type="dxa" w:w="238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p2p.share.state.soldout</w:t>
            </w:r>
          </w:p>
        </w:tc>
        <w:tc>
          <w:tcPr>
            <w:tcW w:type="dxa" w:w="4196"/>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已售罄</w:t>
            </w:r>
          </w:p>
        </w:tc>
        <w:tc>
          <w:tcPr>
            <w:tcW w:type="dxa" w:w="119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w:t>
            </w:r>
          </w:p>
        </w:tc>
      </w:tr>
      <w:tr>
        <w:tc>
          <w:tcPr>
            <w:tcW w:type="dxa" w:w="238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p2p.share.state.sealed</w:t>
            </w:r>
          </w:p>
        </w:tc>
        <w:tc>
          <w:tcPr>
            <w:tcW w:type="dxa" w:w="4196"/>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已封盘</w:t>
            </w:r>
          </w:p>
        </w:tc>
        <w:tc>
          <w:tcPr>
            <w:tcW w:type="dxa" w:w="119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w:t>
            </w:r>
          </w:p>
        </w:tc>
      </w:tr>
      <w:tr>
        <w:tc>
          <w:tcPr>
            <w:tcW w:type="dxa" w:w="238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p2p.share.state.closed</w:t>
            </w:r>
          </w:p>
        </w:tc>
        <w:tc>
          <w:tcPr>
            <w:tcW w:type="dxa" w:w="4196"/>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已关闭</w:t>
            </w:r>
          </w:p>
        </w:tc>
        <w:tc>
          <w:tcPr>
            <w:tcW w:type="dxa" w:w="119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w:t>
            </w:r>
          </w:p>
        </w:tc>
      </w:tr>
      <w:tr>
        <w:tc>
          <w:tcPr>
            <w:tcW w:type="dxa" w:w="238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p2p.share.state.settled</w:t>
            </w:r>
          </w:p>
        </w:tc>
        <w:tc>
          <w:tcPr>
            <w:tcW w:type="dxa" w:w="4196"/>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已结算</w:t>
            </w:r>
          </w:p>
        </w:tc>
        <w:tc>
          <w:tcPr>
            <w:tcW w:type="dxa" w:w="119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w:t>
            </w:r>
          </w:p>
        </w:tc>
      </w:tr>
      <w:tr>
        <w:tc>
          <w:tcPr>
            <w:tcW w:type="dxa" w:w="238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p2p.share.state.kicked</w:t>
            </w:r>
          </w:p>
        </w:tc>
        <w:tc>
          <w:tcPr>
            <w:tcW w:type="dxa" w:w="4196"/>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赛事已开赛</w:t>
            </w:r>
          </w:p>
        </w:tc>
        <w:tc>
          <w:tcPr>
            <w:tcW w:type="dxa" w:w="119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w:t>
            </w:r>
          </w:p>
        </w:tc>
      </w:tr>
      <w:tr>
        <w:tc>
          <w:tcPr>
            <w:tcW w:type="dxa" w:w="238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p2p.share.state.gone</w:t>
            </w:r>
          </w:p>
        </w:tc>
        <w:tc>
          <w:tcPr>
            <w:tcW w:type="dxa" w:w="4196"/>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该挂单已不存在</w:t>
            </w:r>
          </w:p>
        </w:tc>
        <w:tc>
          <w:tcPr>
            <w:tcW w:type="dxa" w:w="119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w:t>
            </w:r>
          </w:p>
        </w:tc>
      </w:tr>
      <w:tr>
        <w:tc>
          <w:tcPr>
            <w:tcW w:type="dxa" w:w="238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p2p.share.why.soldout</w:t>
            </w:r>
          </w:p>
        </w:tc>
        <w:tc>
          <w:tcPr>
            <w:tcW w:type="dxa" w:w="4196"/>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该挂单额度已售罄</w:t>
            </w:r>
          </w:p>
        </w:tc>
        <w:tc>
          <w:tcPr>
            <w:tcW w:type="dxa" w:w="119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w:t>
            </w:r>
          </w:p>
        </w:tc>
      </w:tr>
      <w:tr>
        <w:tc>
          <w:tcPr>
            <w:tcW w:type="dxa" w:w="238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p2p.share.why.sealed</w:t>
            </w:r>
          </w:p>
        </w:tc>
        <w:tc>
          <w:tcPr>
            <w:tcW w:type="dxa" w:w="4196"/>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庄家已暂停该盘口收单</w:t>
            </w:r>
          </w:p>
        </w:tc>
        <w:tc>
          <w:tcPr>
            <w:tcW w:type="dxa" w:w="119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w:t>
            </w:r>
          </w:p>
        </w:tc>
      </w:tr>
      <w:tr>
        <w:tc>
          <w:tcPr>
            <w:tcW w:type="dxa" w:w="238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p2p.share.why.closed</w:t>
            </w:r>
          </w:p>
        </w:tc>
        <w:tc>
          <w:tcPr>
            <w:tcW w:type="dxa" w:w="4196"/>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庄家已停止收单,挂单下架</w:t>
            </w:r>
          </w:p>
        </w:tc>
        <w:tc>
          <w:tcPr>
            <w:tcW w:type="dxa" w:w="119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w:t>
            </w:r>
          </w:p>
        </w:tc>
      </w:tr>
      <w:tr>
        <w:tc>
          <w:tcPr>
            <w:tcW w:type="dxa" w:w="238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p2p.share.why.settled</w:t>
            </w:r>
          </w:p>
        </w:tc>
        <w:tc>
          <w:tcPr>
            <w:tcW w:type="dxa" w:w="4196"/>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赛事已结算,该挂单已完成</w:t>
            </w:r>
          </w:p>
        </w:tc>
        <w:tc>
          <w:tcPr>
            <w:tcW w:type="dxa" w:w="119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w:t>
            </w:r>
          </w:p>
        </w:tc>
      </w:tr>
      <w:tr>
        <w:tc>
          <w:tcPr>
            <w:tcW w:type="dxa" w:w="238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p2p.share.why.kicked</w:t>
            </w:r>
          </w:p>
        </w:tc>
        <w:tc>
          <w:tcPr>
            <w:tcW w:type="dxa" w:w="4196"/>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赛事已开赛,该挂单停止收单</w:t>
            </w:r>
          </w:p>
        </w:tc>
        <w:tc>
          <w:tcPr>
            <w:tcW w:type="dxa" w:w="119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w:t>
            </w:r>
          </w:p>
        </w:tc>
      </w:tr>
      <w:tr>
        <w:tc>
          <w:tcPr>
            <w:tcW w:type="dxa" w:w="238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p2p.share.land.invalidTitle</w:t>
            </w:r>
          </w:p>
        </w:tc>
        <w:tc>
          <w:tcPr>
            <w:tcW w:type="dxa" w:w="4196"/>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订单已失效</w:t>
            </w:r>
          </w:p>
        </w:tc>
        <w:tc>
          <w:tcPr>
            <w:tcW w:type="dxa" w:w="119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w:t>
            </w:r>
          </w:p>
        </w:tc>
      </w:tr>
      <w:tr>
        <w:tc>
          <w:tcPr>
            <w:tcW w:type="dxa" w:w="238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p2p.share.land.invalidBody</w:t>
            </w:r>
          </w:p>
        </w:tc>
        <w:tc>
          <w:tcPr>
            <w:tcW w:type="dxa" w:w="4196"/>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{reason}。可查看其他正在售卖的 P2P 挂单。</w:t>
            </w:r>
          </w:p>
        </w:tc>
        <w:tc>
          <w:tcPr>
            <w:tcW w:type="dxa" w:w="119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reason</w:t>
            </w:r>
          </w:p>
        </w:tc>
      </w:tr>
      <w:tr>
        <w:tc>
          <w:tcPr>
            <w:tcW w:type="dxa" w:w="238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p2p.share.land.viewOthers</w:t>
            </w:r>
          </w:p>
        </w:tc>
        <w:tc>
          <w:tcPr>
            <w:tcW w:type="dxa" w:w="4196"/>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查看其他 P2P 挂单</w:t>
            </w:r>
          </w:p>
        </w:tc>
        <w:tc>
          <w:tcPr>
            <w:tcW w:type="dxa" w:w="119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w:t>
            </w:r>
          </w:p>
        </w:tc>
      </w:tr>
      <w:tr>
        <w:tc>
          <w:tcPr>
            <w:tcW w:type="dxa" w:w="238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p2p.share.land.located</w:t>
            </w:r>
          </w:p>
        </w:tc>
        <w:tc>
          <w:tcPr>
            <w:tcW w:type="dxa" w:w="4196"/>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已定位该 P2P 挂单,请输入投注金额</w:t>
            </w:r>
          </w:p>
        </w:tc>
        <w:tc>
          <w:tcPr>
            <w:tcW w:type="dxa" w:w="1191"/>
            <w:shd w:fill="FFFFFF"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w:t>
            </w:r>
          </w:p>
        </w:tc>
      </w:tr>
      <w:tr>
        <w:tc>
          <w:tcPr>
            <w:tcW w:type="dxa" w:w="238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p2p.share.disabled</w:t>
            </w:r>
          </w:p>
        </w:tc>
        <w:tc>
          <w:tcPr>
            <w:tcW w:type="dxa" w:w="4196"/>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功能暂不可用</w:t>
            </w:r>
          </w:p>
        </w:tc>
        <w:tc>
          <w:tcPr>
            <w:tcW w:type="dxa" w:w="1191"/>
            <w:shd w:fill="F7F9FD" w:val="clear"/>
            <w:tcMar>
              <w:top w:type="dxa" w:w="55"/>
              <w:left w:type="dxa" w:w="110"/>
              <w:bottom w:type="dxa" w:w="55"/>
              <w:right w:type="dxa" w:w="110"/>
            </w:tcMar>
            <w:vAlign w:val="center"/>
          </w:tcPr>
          <w:p>
            <w:r>
              <w:rPr>
                <w:rFonts w:ascii="微软雅黑" w:cs="微软雅黑" w:eastAsia="微软雅黑" w:hAnsi="微软雅黑"/>
                <w:color w:val="1A1A1A"/>
                <w:sz w:val="19"/>
                <w:szCs w:val="19"/>
              </w:rPr>
              <w:t xml:space="preserve">—</w:t>
            </w:r>
          </w:p>
        </w:tc>
      </w:tr>
    </w:tbl>
    <w:p>
      <w:pPr>
        <w:spacing w:after="200" w:before="0"/>
      </w:pPr>
    </w:p>
    <w:p>
      <w:pPr>
        <w:spacing w:before="300"/>
        <w:jc w:val="center"/>
      </w:pPr>
      <w:r>
        <w:rPr>
          <w:rFonts w:ascii="微软雅黑" w:cs="微软雅黑" w:eastAsia="微软雅黑" w:hAnsi="微软雅黑"/>
          <w:color w:val="666666"/>
          <w:sz w:val="20"/>
          <w:szCs w:val="20"/>
        </w:rPr>
        <w:t xml:space="preserve">— 文档结束 —</w:t>
      </w:r>
    </w:p>
    <w:sectPr>
      <w:headerReference w:type="default" r:id="rId7"/>
      <w:footerReference w:type="default" r:id="rId8"/>
      <w:pgSz w:w="12240" w:h="15840"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3" w:sz="4"/>
      </w:pBdr>
      <w:jc w:val="center"/>
    </w:pPr>
    <w:r>
      <w:rPr>
        <w:rFonts w:ascii="微软雅黑" w:cs="微软雅黑" w:eastAsia="微软雅黑" w:hAnsi="微软雅黑"/>
        <w:color w:val="666666"/>
        <w:sz w:val="18"/>
        <w:szCs w:val="18"/>
      </w:rPr>
      <w:t xml:space="preserve">第 </w:t>
    </w:r>
    <w:r>
      <w:rPr>
        <w:rFonts w:ascii="微软雅黑" w:cs="微软雅黑" w:eastAsia="微软雅黑" w:hAnsi="微软雅黑"/>
        <w:color w:val="666666"/>
        <w:sz w:val="18"/>
        <w:szCs w:val="18"/>
      </w:rPr>
      <w:fldChar w:fldCharType="begin"/>
      <w:instrText xml:space="preserve">PAGE</w:instrText>
      <w:fldChar w:fldCharType="separate"/>
      <w:fldChar w:fldCharType="end"/>
    </w:r>
    <w:r>
      <w:rPr>
        <w:rFonts w:ascii="微软雅黑" w:cs="微软雅黑" w:eastAsia="微软雅黑" w:hAnsi="微软雅黑"/>
        <w:color w:val="666666"/>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E3" w:sz="4"/>
      </w:pBdr>
    </w:pPr>
    <w:r>
      <w:rPr>
        <w:rFonts w:ascii="微软雅黑" w:cs="微软雅黑" w:eastAsia="微软雅黑" w:hAnsi="微软雅黑"/>
        <w:color w:val="666666"/>
        <w:sz w:val="18"/>
        <w:szCs w:val="18"/>
      </w:rPr>
      <w:t xml:space="preserve">KingKong 体育 · P2P 挂单分享功能需求说明文档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软雅黑" w:cs="微软雅黑" w:eastAsia="微软雅黑" w:hAnsi="微软雅黑"/>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2026-07-31T02:17:19.020Z</dcterms:created>
  <dcterms:modified xsi:type="dcterms:W3CDTF">2026-07-31T02:17:19.038Z</dcterms:modified>
</cp:coreProperties>
</file>

<file path=docProps/custom.xml><?xml version="1.0" encoding="utf-8"?>
<Properties xmlns="http://schemas.openxmlformats.org/officeDocument/2006/custom-properties" xmlns:vt="http://schemas.openxmlformats.org/officeDocument/2006/docPropsVTypes"/>
</file>