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Development used Python 3.13 with NumPy, pandas, scikit-learn, XGBoost, LightGBM, PyTorch, Flower (flwr), SHAP, LIME, SciPy, Optuna, Matplotlib/Seaborn, GeoPandas, and Streamlit, as specified in requirements.txt. Cursor IDE with AI code-generation assistance was used during development.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r>
        <w:rPr>
          <w:rFonts w:ascii="Times New Roman" w:hAnsi="Times New Roman"/>
          <w:sz w:val="22"/>
        </w:rPr>
        <w:t>The following hypotheses operationalise the research questions:</w:t>
      </w:r>
    </w:p>
    <w:p>
      <w:r>
        <w:rPr>
          <w:rFonts w:ascii="Times New Roman" w:hAnsi="Times New Roman"/>
          <w:sz w:val="22"/>
        </w:rPr>
        <w:t>H1: Federated Averaging achieves test RMSE within 5% of the centralised MLP on the same held-out set.</w:t>
      </w:r>
    </w:p>
    <w:p>
      <w:r>
        <w:rPr>
          <w:rFonts w:ascii="Times New Roman" w:hAnsi="Times New Roman"/>
          <w:sz w:val="22"/>
        </w:rPr>
        <w:t>H2: Spearman rank correlation of mean |SHAP| profiles between centralised and federated models exceeds 0.85.</w:t>
      </w:r>
    </w:p>
    <w:p>
      <w:r>
        <w:rPr>
          <w:rFonts w:ascii="Times New Roman" w:hAnsi="Times New Roman"/>
          <w:sz w:val="22"/>
        </w:rPr>
        <w:t>H3: Top-5 influential building features are consistent across at least 80% of federated clients (operationalised via pairwise Jaccard similarity of per-client top-5 sets; pass if average Jaccard &gt; 0.60).</w:t>
      </w:r>
    </w:p>
    <w:p>
      <w:r>
        <w:rPr>
          <w:rFonts w:ascii="Times New Roman" w:hAnsi="Times New Roman"/>
          <w:sz w:val="22"/>
        </w:rPr>
        <w:t>H4: The Streamlit prototype can present SHAP/LIME outputs with an EU AI Act Article 13 transparency note suitable for stakeholder demonstration.</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 Separately, Hypothesis H3 is tested by applying the centralised Gradient Boosting model to each city client matrix and computing TreeExplainer mean |SHAP| rankings per client, then measuring pairwise Jaccard overlap of the top-5 feature sets (scripts/run_h3_per_client_shap.py).</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Pr>
        <w:spacing w:after="80" w:before="0"/>
      </w:pPr>
    </w:p>
    <w:p>
      <w:pPr>
        <w:jc w:val="center"/>
      </w:pPr>
      <w:r>
        <w:drawing>
          <wp:inline xmlns:a="http://schemas.openxmlformats.org/drawingml/2006/main" xmlns:pic="http://schemas.openxmlformats.org/drawingml/2006/picture">
            <wp:extent cx="4320000" cy="4320000"/>
            <wp:docPr id="21" name="Picture 21"/>
            <wp:cNvGraphicFramePr>
              <a:graphicFrameLocks noChangeAspect="1"/>
            </wp:cNvGraphicFramePr>
            <a:graphic>
              <a:graphicData uri="http://schemas.openxmlformats.org/drawingml/2006/picture">
                <pic:pic>
                  <pic:nvPicPr>
                    <pic:cNvPr id="0" name="pred_vs_actual_mlp.png"/>
                    <pic:cNvPicPr/>
                  </pic:nvPicPr>
                  <pic:blipFill>
                    <a:blip r:embed="rId21"/>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p>
    <w:p>
      <w:pPr>
        <w:spacing w:after="100" w:before="0"/>
      </w:pP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Table 4.3 reports the FedAvg MLP convergence across eight training rounds. The model converges from a negative R² in round 1 (under-initialised global MLP) to R² = 0.518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201.51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142.47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0.300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128.19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0.433</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121.67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0.490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119.21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118.57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0.515</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118.21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0.518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Final federated metrics: RMSE = 118.21, MAE = 84.81, R² = 0.518, MAPE = 49.45%.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under strong distributional skew, which the three-city partition does not fully exhibit. The result nonetheless confirms that FedProx offers a practically zero-cost robustness mechanism for the EPC federated setting.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3"/>
      </w:pPr>
      <w:r>
        <w:rPr>
          <w:rFonts w:ascii="Times New Roman" w:hAnsi="Times New Roman"/>
          <w:sz w:val="22"/>
        </w:rPr>
        <w:t>4.3.1 Extended Federated Convergence (20 rounds)</w:t>
      </w:r>
    </w:p>
    <w:p>
      <w:r>
        <w:rPr>
          <w:rFonts w:ascii="Times New Roman" w:hAnsi="Times New Roman"/>
          <w:sz w:val="22"/>
        </w:rPr>
        <w:t>To assess whether the eight-round schedule understates attainable federated performance, FedAvg and FedProx (μ = 0.01) were extended to 20 rounds under the same architecture and local-epoch settings (scripts/run_federated_20rounds.py). This extension is reported alongside—not as a replacement for—the primary eight-round results in Table 4.3. FedAvg improved from RMSE 117.80 at round 8 to 116.23 at round 20 (final R² = 0.534). FedProx reached RMSE 115.48 (final R² = 0.540), slightly outperforming FedAvg at the longer horizon. Both strategies were already within 5% of the centralised MLP RMSE by round 4. Figure 4.13 shows the 20-round trajectories with centralised MLP and Gradient Boosting RMSE reference lines.</w:t>
      </w:r>
    </w:p>
    <w:p>
      <w:r>
        <w:rPr>
          <w:rFonts w:ascii="Times New Roman" w:hAnsi="Times New Roman"/>
          <w:sz w:val="22"/>
        </w:rPr>
        <w:t>Checkpoint comparison (Test RMSE): FedAvg — R8 117.80, R12 117.19, R16 116.51, R20 116.23; FedProx — R8 118.12, R12 117.15, R16 116.30, R20 115.48 (results/tables/fl_strategy_comparison.csv).</w:t>
      </w:r>
    </w:p>
    <w:p/>
    <w:p>
      <w:pPr>
        <w:jc w:val="center"/>
      </w:pPr>
      <w:r>
        <w:drawing>
          <wp:inline xmlns:a="http://schemas.openxmlformats.org/drawingml/2006/main" xmlns:pic="http://schemas.openxmlformats.org/drawingml/2006/picture">
            <wp:extent cx="5220000" cy="2900000"/>
            <wp:docPr id="22" name="Picture 22"/>
            <wp:cNvGraphicFramePr>
              <a:graphicFrameLocks noChangeAspect="1"/>
            </wp:cNvGraphicFramePr>
            <a:graphic>
              <a:graphicData uri="http://schemas.openxmlformats.org/drawingml/2006/picture">
                <pic:pic>
                  <pic:nvPicPr>
                    <pic:cNvPr id="0" name="federated_convergence_20rounds.png"/>
                    <pic:cNvPicPr/>
                  </pic:nvPicPr>
                  <pic:blipFill>
                    <a:blip r:embed="rId22"/>
                    <a:stretch>
                      <a:fillRect/>
                    </a:stretch>
                  </pic:blipFill>
                  <pic:spPr>
                    <a:xfrm>
                      <a:off x="0" y="0"/>
                      <a:ext cx="5220000" cy="2900000"/>
                    </a:xfrm>
                    <a:prstGeom prst="rect"/>
                  </pic:spPr>
                </pic:pic>
              </a:graphicData>
            </a:graphic>
          </wp:inline>
        </w:drawing>
      </w:r>
    </w:p>
    <w:p>
      <w:pPr>
        <w:pStyle w:val="Caption"/>
        <w:jc w:val="center"/>
      </w:pPr>
      <w:r>
        <w:rPr>
          <w:i/>
          <w:sz w:val="20"/>
        </w:rPr>
        <w:t>Figure 4.13: Federated convergence over 20 rounds (FedAvg vs FedProx) with centralised MLP and Gradient Boosting RMSE reference lines.</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W = 262,557.5</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1.85e-05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t = -3.96</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7.97e-05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80.02 vs 84.81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Δ = 4.79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Practically modest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GB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113.04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[105.94 – 120.08]</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n=2000 resamples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Federated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118.21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[110.81 – 125.43]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CIs overlap: YES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Cohen's d (abs. errors)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0.059</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 practical effect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r>
        <w:rPr>
          <w:rFonts w:ascii="Times New Roman" w:hAnsi="Times New Roman"/>
          <w:sz w:val="22"/>
        </w:rPr>
        <w:t>Hypothesis H3 (cross-client top-5 consistency) was evaluated by ranking mean |SHAP| features separately on London, Manchester, and Birmingham client matrices using the centralised Gradient Boosting model (TreeExplainer). Average pairwise Jaccard similarity of the top-5 sets was 0.78 (London–Manchester 0.67; London–Birmingham 0.67; Manchester–Birmingham 1.00). 4/5 top features appeared in all three clients, and 5/5 appeared in at least two clients. H3 STATUS: PASS (average Jaccard &gt; 0.60). Figure 4.14 compares per-client mean |SHAP| for the leading features.</w:t>
      </w:r>
    </w:p>
    <w:p>
      <w:r>
        <w:rPr>
          <w:rFonts w:ascii="Times New Roman" w:hAnsi="Times New Roman"/>
          <w:sz w:val="22"/>
        </w:rPr>
        <w:t>Shared across all clients: storey_count, Offices and Workshop Businesses, Storage or Distribution, and Natural Gas. Hotel-related property-type codes differ slightly in naming between London (C1 Hotels) and the other cities (Hotels), which accounts for the only top-5 disagreement.</w:t>
      </w:r>
    </w:p>
    <w:p/>
    <w:p>
      <w:pPr>
        <w:jc w:val="center"/>
      </w:pPr>
      <w:r>
        <w:drawing>
          <wp:inline xmlns:a="http://schemas.openxmlformats.org/drawingml/2006/main" xmlns:pic="http://schemas.openxmlformats.org/drawingml/2006/picture">
            <wp:extent cx="5220000" cy="2610000"/>
            <wp:docPr id="23" name="Picture 23"/>
            <wp:cNvGraphicFramePr>
              <a:graphicFrameLocks noChangeAspect="1"/>
            </wp:cNvGraphicFramePr>
            <a:graphic>
              <a:graphicData uri="http://schemas.openxmlformats.org/drawingml/2006/picture">
                <pic:pic>
                  <pic:nvPicPr>
                    <pic:cNvPr id="0" name="per_client_shap_comparison.png"/>
                    <pic:cNvPicPr/>
                  </pic:nvPicPr>
                  <pic:blipFill>
                    <a:blip r:embed="rId23"/>
                    <a:stretch>
                      <a:fillRect/>
                    </a:stretch>
                  </pic:blipFill>
                  <pic:spPr>
                    <a:xfrm>
                      <a:off x="0" y="0"/>
                      <a:ext cx="5220000" cy="2610000"/>
                    </a:xfrm>
                    <a:prstGeom prst="rect"/>
                  </pic:spPr>
                </pic:pic>
              </a:graphicData>
            </a:graphic>
          </wp:inline>
        </w:drawing>
      </w:r>
    </w:p>
    <w:p>
      <w:pPr>
        <w:pStyle w:val="Caption"/>
        <w:jc w:val="center"/>
      </w:pPr>
      <w:r>
        <w:rPr>
          <w:i/>
          <w:sz w:val="20"/>
        </w:rPr>
        <w:t>Figure 4.14: Per-client SHAP comparison (centralised Gradient Boosting applied to each city). Bars show mean |SHAP| for the top features by city.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FedAvg MLP R² 0.518 ≈ central MLP 0.528; close to best GB 0.559; H1 supported (within ~5% RMSE of central MLP)</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Storey count, property type, fuel dominate; H3 PASS (avg Jaccard 0.78; 4/5 top-5 features in all clients)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rPr>
          <w:rFonts w:ascii="Times New Roman" w:hAnsi="Times New Roman"/>
          <w:sz w:val="22"/>
        </w:rPr>
        <w:t>Hypothesis verdicts: H1 supported (federated RMSE 118.21 within ~5% of central MLP 117.04; bootstrap CIs overlap; Cohen's d = 0.059). H2 supported (Spearman ρ = 0.956 &gt; 0.85). H3 PASS (average Jaccard = 0.78). H4 supported qualitatively via the Streamlit prototype with an EU AI Act Article 13 transparency note.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4.12),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central empirical contribution is dual: federated neural models can track centralised neural performance on UK high-rise EPC data (R² 0.518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RQ1: Federated Averaging produced an MLP with R² ≈ 0.518, closely matching the centralised MLP (0.528) and approaching the best centralised Gradient Boosting (0.559), without pooling raw client CSVs during federated rounds.</w:t>
      </w:r>
      <w:r>
        <w:rPr>
          <w:rFonts w:ascii="Times New Roman" w:cs="Times New Roman" w:eastAsia="Times New Roman" w:hAnsi="Times New Roman"/>
          <w:b w:val="false"/>
          <w:bCs w:val="false"/>
          <w:caps w:val="false"/>
          <w:color w:val="000000"/>
          <w:sz w:val="24"/>
          <w:szCs w:val="24"/>
        </w:rPr>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distributions broadly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r>
        <w:rPr>
          <w:rFonts w:ascii="Times New Roman" w:hAnsi="Times New Roman"/>
          <w:sz w:val="22"/>
        </w:rPr>
        <w:t>Figure 4.7b pred_vs_actual_mlp.png — central MLP residuals on held-out test set.</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p>
      <w:r>
        <w:rPr>
          <w:rFonts w:ascii="Times New Roman" w:hAnsi="Times New Roman"/>
          <w:sz w:val="22"/>
        </w:rPr>
        <w:t>Figure 4.13 federated_convergence_20rounds.png — FedAvg vs FedProx to 20 rounds with central baselines.</w:t>
      </w:r>
    </w:p>
    <w:p>
      <w:r>
        <w:rPr>
          <w:rFonts w:ascii="Times New Roman" w:hAnsi="Times New Roman"/>
          <w:sz w:val="22"/>
        </w:rPr>
        <w:t>Figure 4.14 per_client_shap_comparison.png — H3 per-client SHAP / Jaccard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pred_vs_actual_mlp.png"/><Relationship Id="rId22" Type="http://schemas.openxmlformats.org/officeDocument/2006/relationships/image" Target="media/image10.png"/><Relationship Id="rId23"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