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Times New Roman" w:cs="Times New Roman" w:eastAsia="Times New Roman" w:hAnsi="Times New Roman"/>
          <w:b/>
          <w:bCs/>
          <w:caps/>
          <w:color w:val="1F3864"/>
          <w:sz w:val="26"/>
          <w:szCs w:val="26"/>
        </w:rPr>
        <w:t xml:space="preserve">UNIVERSITY OF HULL</w:t>
      </w:r>
    </w:p>
    <w:p>
      <w:pPr>
        <w:spacing w:after="80" w:before="0"/>
        <w:jc w:val="center"/>
      </w:pPr>
      <w:r>
        <w:rPr>
          <w:rFonts w:ascii="Times New Roman" w:cs="Times New Roman" w:eastAsia="Times New Roman" w:hAnsi="Times New Roman"/>
          <w:b w:val="false"/>
          <w:bCs w:val="false"/>
          <w:caps w:val="false"/>
          <w:color w:val="000000"/>
          <w:sz w:val="24"/>
          <w:szCs w:val="24"/>
        </w:rPr>
        <w:t xml:space="preserve">School of Computer Science</w:t>
      </w:r>
    </w:p>
    <w:p>
      <w:pPr>
        <w:spacing w:after="400" w:before="0"/>
      </w:pPr>
    </w:p>
    <w:p>
      <w:pPr>
        <w:spacing w:after="120" w:before="0"/>
        <w:jc w:val="center"/>
      </w:pPr>
      <w:r>
        <w:rPr>
          <w:rFonts w:ascii="Times New Roman" w:cs="Times New Roman" w:eastAsia="Times New Roman" w:hAnsi="Times New Roman"/>
          <w:b/>
          <w:bCs/>
          <w:caps w:val="false"/>
          <w:color w:val="1F3864"/>
          <w:sz w:val="36"/>
          <w:szCs w:val="36"/>
        </w:rPr>
        <w:t xml:space="preserve">Privacy-Preserving Explainable AI for Building Energy</w:t>
      </w:r>
    </w:p>
    <w:p>
      <w:pPr>
        <w:spacing w:after="120" w:before="0"/>
        <w:jc w:val="center"/>
      </w:pPr>
      <w:r>
        <w:rPr>
          <w:rFonts w:ascii="Times New Roman" w:cs="Times New Roman" w:eastAsia="Times New Roman" w:hAnsi="Times New Roman"/>
          <w:b/>
          <w:bCs/>
          <w:caps w:val="false"/>
          <w:color w:val="1F3864"/>
          <w:sz w:val="36"/>
          <w:szCs w:val="36"/>
        </w:rPr>
        <w:t xml:space="preserve">Performance Prediction: A Federated Learning Approach</w:t>
      </w:r>
    </w:p>
    <w:p>
      <w:pPr>
        <w:spacing w:after="400" w:before="0"/>
        <w:jc w:val="center"/>
      </w:pPr>
      <w:r>
        <w:rPr>
          <w:rFonts w:ascii="Times New Roman" w:cs="Times New Roman" w:eastAsia="Times New Roman" w:hAnsi="Times New Roman"/>
          <w:b/>
          <w:bCs/>
          <w:caps w:val="false"/>
          <w:color w:val="1F3864"/>
          <w:sz w:val="36"/>
          <w:szCs w:val="36"/>
        </w:rPr>
        <w:t xml:space="preserve">with SHAP and LIME Integration for High-Rise Structures</w:t>
      </w:r>
    </w:p>
    <w:p>
      <w:pPr>
        <w:spacing w:after="80" w:before="0"/>
        <w:jc w:val="center"/>
      </w:pPr>
      <w:r>
        <w:rPr>
          <w:rFonts w:ascii="Times New Roman" w:cs="Times New Roman" w:eastAsia="Times New Roman" w:hAnsi="Times New Roman"/>
          <w:b w:val="false"/>
          <w:bCs w:val="false"/>
          <w:caps w:val="false"/>
          <w:color w:val="000000"/>
          <w:sz w:val="28"/>
          <w:szCs w:val="28"/>
        </w:rPr>
        <w:t xml:space="preserve">PP-XAI Dissertation</w:t>
      </w:r>
    </w:p>
    <w:p>
      <w:pPr>
        <w:spacing w:after="400" w:before="0"/>
      </w:pPr>
    </w:p>
    <w:p>
      <w:pPr>
        <w:spacing w:after="80" w:before="0"/>
        <w:jc w:val="center"/>
      </w:pPr>
      <w:r>
        <w:rPr>
          <w:rFonts w:ascii="Times New Roman" w:cs="Times New Roman" w:eastAsia="Times New Roman" w:hAnsi="Times New Roman"/>
          <w:b/>
          <w:bCs/>
          <w:caps w:val="false"/>
          <w:color w:val="000000"/>
          <w:sz w:val="24"/>
          <w:szCs w:val="24"/>
        </w:rPr>
        <w:t xml:space="preserve">Submitted by: </w:t>
      </w:r>
      <w:r>
        <w:rPr>
          <w:rFonts w:ascii="Times New Roman" w:cs="Times New Roman" w:eastAsia="Times New Roman" w:hAnsi="Times New Roman"/>
          <w:b w:val="false"/>
          <w:bCs w:val="false"/>
          <w:caps w:val="false"/>
          <w:color w:val="000000"/>
          <w:sz w:val="24"/>
          <w:szCs w:val="24"/>
        </w:rPr>
        <w:t xml:space="preserve">Syed Ali Raza</w:t>
      </w:r>
    </w:p>
    <w:p>
      <w:pPr>
        <w:spacing w:after="80" w:before="0"/>
        <w:jc w:val="center"/>
      </w:pPr>
      <w:r>
        <w:rPr>
          <w:rFonts w:ascii="Times New Roman" w:cs="Times New Roman" w:eastAsia="Times New Roman" w:hAnsi="Times New Roman"/>
          <w:b/>
          <w:bCs/>
          <w:caps w:val="false"/>
          <w:color w:val="000000"/>
          <w:sz w:val="24"/>
          <w:szCs w:val="24"/>
        </w:rPr>
        <w:t xml:space="preserve">Student Number: </w:t>
      </w:r>
      <w:r>
        <w:rPr>
          <w:rFonts w:ascii="Times New Roman" w:cs="Times New Roman" w:eastAsia="Times New Roman" w:hAnsi="Times New Roman"/>
          <w:b w:val="false"/>
          <w:bCs w:val="false"/>
          <w:caps w:val="false"/>
          <w:color w:val="000000"/>
          <w:sz w:val="24"/>
          <w:szCs w:val="24"/>
        </w:rPr>
        <w:t xml:space="preserve">202440724</w:t>
      </w:r>
    </w:p>
    <w:p>
      <w:pPr>
        <w:spacing w:after="80" w:before="0"/>
        <w:jc w:val="center"/>
      </w:pPr>
      <w:r>
        <w:rPr>
          <w:rFonts w:ascii="Times New Roman" w:cs="Times New Roman" w:eastAsia="Times New Roman" w:hAnsi="Times New Roman"/>
          <w:b/>
          <w:bCs/>
          <w:caps w:val="false"/>
          <w:color w:val="000000"/>
          <w:sz w:val="24"/>
          <w:szCs w:val="24"/>
        </w:rPr>
        <w:t xml:space="preserve">Programme: </w:t>
      </w:r>
      <w:r>
        <w:rPr>
          <w:rFonts w:ascii="Times New Roman" w:cs="Times New Roman" w:eastAsia="Times New Roman" w:hAnsi="Times New Roman"/>
          <w:b w:val="false"/>
          <w:bCs w:val="false"/>
          <w:caps w:val="false"/>
          <w:color w:val="000000"/>
          <w:sz w:val="24"/>
          <w:szCs w:val="24"/>
        </w:rPr>
        <w:t xml:space="preserve">MSc Applied Artificial Intelligence</w:t>
      </w:r>
    </w:p>
    <w:p>
      <w:pPr>
        <w:spacing w:after="80" w:before="0"/>
        <w:jc w:val="center"/>
      </w:pPr>
      <w:r>
        <w:rPr>
          <w:rFonts w:ascii="Times New Roman" w:cs="Times New Roman" w:eastAsia="Times New Roman" w:hAnsi="Times New Roman"/>
          <w:b/>
          <w:bCs/>
          <w:caps w:val="false"/>
          <w:color w:val="000000"/>
          <w:sz w:val="24"/>
          <w:szCs w:val="24"/>
        </w:rPr>
        <w:t xml:space="preserve">Supervisor: </w:t>
      </w:r>
      <w:r>
        <w:rPr>
          <w:rFonts w:ascii="Times New Roman" w:cs="Times New Roman" w:eastAsia="Times New Roman" w:hAnsi="Times New Roman"/>
          <w:b w:val="false"/>
          <w:bCs w:val="false"/>
          <w:caps w:val="false"/>
          <w:color w:val="000000"/>
          <w:sz w:val="24"/>
          <w:szCs w:val="24"/>
        </w:rPr>
        <w:t xml:space="preserve">Mona</w:t>
      </w:r>
    </w:p>
    <w:p>
      <w:pPr>
        <w:spacing w:after="80" w:before="0"/>
        <w:jc w:val="center"/>
      </w:pPr>
      <w:r>
        <w:rPr>
          <w:rFonts w:ascii="Times New Roman" w:cs="Times New Roman" w:eastAsia="Times New Roman" w:hAnsi="Times New Roman"/>
          <w:b/>
          <w:bCs/>
          <w:caps w:val="false"/>
          <w:color w:val="000000"/>
          <w:sz w:val="24"/>
          <w:szCs w:val="24"/>
        </w:rPr>
        <w:t xml:space="preserve">Module: </w:t>
      </w:r>
      <w:r>
        <w:rPr>
          <w:rFonts w:ascii="Times New Roman" w:cs="Times New Roman" w:eastAsia="Times New Roman" w:hAnsi="Times New Roman"/>
          <w:b w:val="false"/>
          <w:bCs w:val="false"/>
          <w:caps w:val="false"/>
          <w:color w:val="000000"/>
          <w:sz w:val="24"/>
          <w:szCs w:val="24"/>
        </w:rPr>
        <w:t xml:space="preserve">771952</w:t>
      </w:r>
    </w:p>
    <w:p>
      <w:pPr>
        <w:spacing w:after="80" w:before="0"/>
        <w:jc w:val="center"/>
      </w:pPr>
      <w:r>
        <w:rPr>
          <w:rFonts w:ascii="Times New Roman" w:cs="Times New Roman" w:eastAsia="Times New Roman" w:hAnsi="Times New Roman"/>
          <w:b/>
          <w:bCs/>
          <w:caps w:val="false"/>
          <w:color w:val="000000"/>
          <w:sz w:val="24"/>
          <w:szCs w:val="24"/>
        </w:rPr>
        <w:t xml:space="preserve">Submission Date: </w:t>
      </w:r>
      <w:r>
        <w:rPr>
          <w:rFonts w:ascii="Times New Roman" w:cs="Times New Roman" w:eastAsia="Times New Roman" w:hAnsi="Times New Roman"/>
          <w:b w:val="false"/>
          <w:bCs w:val="false"/>
          <w:caps w:val="false"/>
          <w:color w:val="000000"/>
          <w:sz w:val="24"/>
          <w:szCs w:val="24"/>
        </w:rPr>
        <w:t xml:space="preserve">August 2026</w:t>
      </w:r>
    </w:p>
    <w:p>
      <w:pPr>
        <w:spacing w:after="300" w:before="0"/>
      </w:pPr>
    </w:p>
    <w:p>
      <w:pPr>
        <w:spacing w:after="80" w:before="0"/>
        <w:jc w:val="center"/>
      </w:pPr>
      <w:r>
        <w:rPr>
          <w:rFonts w:ascii="Times New Roman" w:cs="Times New Roman" w:eastAsia="Times New Roman" w:hAnsi="Times New Roman"/>
          <w:b w:val="false"/>
          <w:bCs w:val="false"/>
          <w:caps w:val="false"/>
          <w:color w:val="000000"/>
          <w:sz w:val="22"/>
          <w:szCs w:val="22"/>
        </w:rPr>
        <w:t xml:space="preserve">Submitted in partial fulfilment of the requirements for the degree of</w:t>
      </w:r>
    </w:p>
    <w:p>
      <w:pPr>
        <w:spacing w:after="80" w:before="0"/>
        <w:jc w:val="center"/>
      </w:pPr>
      <w:r>
        <w:rPr>
          <w:rFonts w:ascii="Times New Roman" w:cs="Times New Roman" w:eastAsia="Times New Roman" w:hAnsi="Times New Roman"/>
          <w:b/>
          <w:bCs/>
          <w:caps w:val="false"/>
          <w:color w:val="000000"/>
          <w:sz w:val="22"/>
          <w:szCs w:val="22"/>
        </w:rPr>
        <w:t xml:space="preserve">Master of Science in Applied Artificial Intelligence</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Abstract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high-rise building energy prediction on UK EPC open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118.21) after eight rounds, closely matching a centralised MLP (R² 0.528). Spearman rank correlation of mean absolute SHAP values between centralised and federated models was ρ ≈ 0.956 (p &lt; 0.001). Statistical tests (Wilcoxon p = 1.06 × 10⁻⁵; paired t-test p = 4.98 × 10⁻⁵) confirm the accuracy gap, whilst its practical magnitude is modest relative to the privacy benefit.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pPr>
        <w:spacing w:after="100" w:before="0"/>
      </w:pPr>
    </w:p>
    <w:p>
      <w:pPr>
        <w:spacing w:after="200" w:before="0" w:line="360" w:lineRule="auto"/>
        <w:jc w:val="both"/>
      </w:pPr>
      <w:r>
        <w:rPr>
          <w:rFonts w:ascii="Times New Roman" w:cs="Times New Roman" w:eastAsia="Times New Roman" w:hAnsi="Times New Roman"/>
          <w:b/>
          <w:bCs/>
          <w:caps w:val="false"/>
          <w:color w:val="000000"/>
          <w:sz w:val="24"/>
          <w:szCs w:val="24"/>
        </w:rPr>
        <w:t xml:space="preserve">Keywords: </w:t>
      </w:r>
      <w:r>
        <w:rPr>
          <w:rFonts w:ascii="Times New Roman" w:cs="Times New Roman" w:eastAsia="Times New Roman" w:hAnsi="Times New Roman"/>
          <w:b w:val="false"/>
          <w:bCs w:val="false"/>
          <w:caps w:val="false"/>
          <w:color w:val="000000"/>
          <w:sz w:val="24"/>
          <w:szCs w:val="24"/>
        </w:rPr>
        <w:t xml:space="preserve">Federated Learning; Explainable AI; SHAP; LIME; Energy Performance Certificates; High-rise buildings; Privacy-preserving machine learning; UK EPC data</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Acknowledgements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would like to thank my supervisor Mona for guidance and constructive feedback throughout this project. Her direction helped shape the research focus and improved the quality of the analysis substantially.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Development was assisted by Cursor IDE with AI code-generation support; all experimental judgements, filter decisions, and analytical conclusions are my own.</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1 — Introduction</w:t>
      </w:r>
    </w:p>
    <w:p>
      <w:pPr>
        <w:pStyle w:val="Heading2"/>
        <w:spacing w:after="120" w:before="280"/>
      </w:pPr>
      <w:r>
        <w:rPr>
          <w:rFonts w:ascii="Times New Roman" w:cs="Times New Roman" w:eastAsia="Times New Roman" w:hAnsi="Times New Roman"/>
          <w:b/>
          <w:bCs/>
          <w:color w:val="1F3864"/>
          <w:sz w:val="26"/>
          <w:szCs w:val="26"/>
        </w:rPr>
        <w:t xml:space="preserve">1.1 Background and Motivation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(McMahan et al., 2017).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pPr>
        <w:pStyle w:val="Heading2"/>
        <w:spacing w:after="120" w:before="280"/>
      </w:pPr>
      <w:r>
        <w:rPr>
          <w:rFonts w:ascii="Times New Roman" w:cs="Times New Roman" w:eastAsia="Times New Roman" w:hAnsi="Times New Roman"/>
          <w:b/>
          <w:bCs/>
          <w:color w:val="1F3864"/>
          <w:sz w:val="26"/>
          <w:szCs w:val="26"/>
        </w:rPr>
        <w:t xml:space="preserve">1.2 Problem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pPr>
        <w:pStyle w:val="Heading2"/>
        <w:spacing w:after="120" w:before="280"/>
      </w:pPr>
      <w:r>
        <w:rPr>
          <w:rFonts w:ascii="Times New Roman" w:cs="Times New Roman" w:eastAsia="Times New Roman" w:hAnsi="Times New Roman"/>
          <w:b/>
          <w:bCs/>
          <w:color w:val="1F3864"/>
          <w:sz w:val="26"/>
          <w:szCs w:val="26"/>
        </w:rPr>
        <w:t xml:space="preserve">1.3 Aim and Objectives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aim of this dissertation is to develop and evaluate a privacy-preserving explainable AI framework that combines Federated Learning with SHAP and LIME for predicting high-rise building energy performance using UK EPC certificates.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specific objectives are:</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O1. </w:t>
      </w:r>
      <w:r>
        <w:rPr>
          <w:rFonts w:ascii="Times New Roman" w:cs="Times New Roman" w:eastAsia="Times New Roman" w:hAnsi="Times New Roman"/>
          <w:b w:val="false"/>
          <w:bCs w:val="false"/>
          <w:caps w:val="false"/>
          <w:color w:val="000000"/>
          <w:sz w:val="24"/>
          <w:szCs w:val="24"/>
        </w:rPr>
        <w:t xml:space="preserve">Implement centralised regression baselines (Random Forest, Gradient Boosting, XGBoost, LightGBM, MLP) for energy prediction on a filtered high-rise EPC corpus.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O2. </w:t>
      </w:r>
      <w:r>
        <w:rPr>
          <w:rFonts w:ascii="Times New Roman" w:cs="Times New Roman" w:eastAsia="Times New Roman" w:hAnsi="Times New Roman"/>
          <w:b w:val="false"/>
          <w:bCs w:val="false"/>
          <w:caps w:val="false"/>
          <w:color w:val="000000"/>
          <w:sz w:val="24"/>
          <w:szCs w:val="24"/>
        </w:rPr>
        <w:t xml:space="preserve">Implement Federated Averaging across geographic clients (London, Manchester, Birmingham) without pooling raw client CSVs during federated training rounds.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O3. </w:t>
      </w:r>
      <w:r>
        <w:rPr>
          <w:rFonts w:ascii="Times New Roman" w:cs="Times New Roman" w:eastAsia="Times New Roman" w:hAnsi="Times New Roman"/>
          <w:b w:val="false"/>
          <w:bCs w:val="false"/>
          <w:caps w:val="false"/>
          <w:color w:val="000000"/>
          <w:sz w:val="24"/>
          <w:szCs w:val="24"/>
        </w:rPr>
        <w:t xml:space="preserve">Integrate SHAP (global) and LIME (local) explanations for both centralised and federated models.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O4. </w:t>
      </w:r>
      <w:r>
        <w:rPr>
          <w:rFonts w:ascii="Times New Roman" w:cs="Times New Roman" w:eastAsia="Times New Roman" w:hAnsi="Times New Roman"/>
          <w:b w:val="false"/>
          <w:bCs w:val="false"/>
          <w:caps w:val="false"/>
          <w:color w:val="000000"/>
          <w:sz w:val="24"/>
          <w:szCs w:val="24"/>
        </w:rPr>
        <w:t xml:space="preserve">Compare predictive accuracy using RMSE, MAE, R², and MAPE, and compare explanation stability using Spearman correlation of mean absolute SHAP values.</w:t>
      </w:r>
    </w:p>
    <w:p>
      <w:pPr>
        <w:pStyle w:val="ListParagraph"/>
        <w:numPr>
          <w:ilvl w:val="0"/>
          <w:numId w:val="2"/>
        </w:numPr>
        <w:spacing w:after="160" w:before="0" w:line="360" w:lineRule="auto"/>
        <w:jc w:val="both"/>
      </w:pPr>
      <w:r>
        <w:rPr>
          <w:rFonts w:ascii="Times New Roman" w:cs="Times New Roman" w:eastAsia="Times New Roman" w:hAnsi="Times New Roman"/>
          <w:b/>
          <w:bCs/>
          <w:caps w:val="false"/>
          <w:color w:val="000000"/>
          <w:sz w:val="24"/>
          <w:szCs w:val="24"/>
        </w:rPr>
        <w:t xml:space="preserve">O5. </w:t>
      </w:r>
      <w:r>
        <w:rPr>
          <w:rFonts w:ascii="Times New Roman" w:cs="Times New Roman" w:eastAsia="Times New Roman" w:hAnsi="Times New Roman"/>
          <w:b w:val="false"/>
          <w:bCs w:val="false"/>
          <w:caps w:val="false"/>
          <w:color w:val="000000"/>
          <w:sz w:val="24"/>
          <w:szCs w:val="24"/>
        </w:rPr>
        <w:t xml:space="preserve">Deliver a Streamlit prototype for interactive prediction with reference to SHAP summaries and LIME local explanations.</w:t>
      </w:r>
    </w:p>
    <w:p>
      <w:pPr>
        <w:pStyle w:val="Heading2"/>
        <w:spacing w:after="120" w:before="280"/>
      </w:pPr>
      <w:r>
        <w:rPr>
          <w:rFonts w:ascii="Times New Roman" w:cs="Times New Roman" w:eastAsia="Times New Roman" w:hAnsi="Times New Roman"/>
          <w:b/>
          <w:bCs/>
          <w:color w:val="1F3864"/>
          <w:sz w:val="26"/>
          <w:szCs w:val="26"/>
        </w:rPr>
        <w:t xml:space="preserve">1.4 Research Questions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Can Federated Learning approach centralised regression accuracy while keeping client data local?</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How do SHAP and LIME explanations from federated models compare in stability to those from centralised equivalents?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Which building features most influence high-rise energy predictions, and how consistent are attributions across training regimes?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How can federated XAI frameworks support transparency requirements for building energy assessment applications?</w:t>
      </w:r>
    </w:p>
    <w:p>
      <w:pPr>
        <w:pStyle w:val="Heading2"/>
        <w:spacing w:after="120" w:before="280"/>
      </w:pPr>
      <w:r>
        <w:rPr>
          <w:rFonts w:ascii="Times New Roman" w:cs="Times New Roman" w:eastAsia="Times New Roman" w:hAnsi="Times New Roman"/>
          <w:b/>
          <w:bCs/>
          <w:color w:val="1F3864"/>
          <w:sz w:val="26"/>
          <w:szCs w:val="26"/>
        </w:rPr>
        <w:t xml:space="preserve">1.5 Revised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pPr>
        <w:pStyle w:val="Heading2"/>
        <w:spacing w:after="120" w:before="280"/>
      </w:pPr>
      <w:r>
        <w:rPr>
          <w:rFonts w:ascii="Times New Roman" w:cs="Times New Roman" w:eastAsia="Times New Roman" w:hAnsi="Times New Roman"/>
          <w:b/>
          <w:bCs/>
          <w:color w:val="1F3864"/>
          <w:sz w:val="26"/>
          <w:szCs w:val="26"/>
        </w:rPr>
        <w:t xml:space="preserve">1.6 Research Contributions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makes the following original contributions: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An empirically grounded high-rise filtering strategy for UK EPC bulk CSVs, including schema corrections and audit documentation of storey field limitations.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reproducible Python pipeline comparing centralised ensembles and neural networks with FedAvg MLP across three city clients.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evidence of high SHAP rank stability (Spearman ρ ≈ 0.96) between centralised and federated models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Streamlit demonstration artefact supporting stakeholder communication and viva examination.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Practical guidance on leakage control and honest reporting for EPC-based ML research.</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1.7 Dissertation Structure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2 — Literature Review</w:t>
      </w:r>
    </w:p>
    <w:p>
      <w:pPr>
        <w:pStyle w:val="Heading2"/>
        <w:spacing w:after="120" w:before="280"/>
      </w:pPr>
      <w:r>
        <w:rPr>
          <w:rFonts w:ascii="Times New Roman" w:cs="Times New Roman" w:eastAsia="Times New Roman" w:hAnsi="Times New Roman"/>
          <w:b/>
          <w:bCs/>
          <w:color w:val="1F3864"/>
          <w:sz w:val="26"/>
          <w:szCs w:val="26"/>
        </w:rPr>
        <w:t xml:space="preserve">2.1 Building Energy Performance and EPC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pPr>
        <w:pStyle w:val="Heading2"/>
        <w:spacing w:after="120" w:before="280"/>
      </w:pPr>
      <w:r>
        <w:rPr>
          <w:rFonts w:ascii="Times New Roman" w:cs="Times New Roman" w:eastAsia="Times New Roman" w:hAnsi="Times New Roman"/>
          <w:b/>
          <w:bCs/>
          <w:color w:val="1F3864"/>
          <w:sz w:val="26"/>
          <w:szCs w:val="26"/>
        </w:rPr>
        <w:t xml:space="preserve">2.2 Privacy-Preserving Learning for Built-Environment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FedAvg (McMahan et al., 2017) iteratively averages client model parameters weighted by local dataset size. Under non-IID (non-identically distributed) client distributions, client drift can degrade convergence; FedProx and related methods add proximal regularisation to mitigate this (Li et al., 2020). Flower (Beutel et al., 2020) provides an engineering framework for simulating and deploying FL across diverse client environments. Applications in smart grids, healthcare, and IoT are well established; building-sector FL remains comparatively sparse, and coupling FL with formal XAI evaluation is rarer still. This gap motivates the present work.</w:t>
      </w:r>
    </w:p>
    <w:p>
      <w:pPr>
        <w:pStyle w:val="Heading2"/>
        <w:spacing w:after="120" w:before="280"/>
      </w:pPr>
      <w:r>
        <w:rPr>
          <w:rFonts w:ascii="Times New Roman" w:cs="Times New Roman" w:eastAsia="Times New Roman" w:hAnsi="Times New Roman"/>
          <w:b/>
          <w:bCs/>
          <w:color w:val="1F3864"/>
          <w:sz w:val="26"/>
          <w:szCs w:val="26"/>
        </w:rPr>
        <w:t xml:space="preserve">2.3 Explainable AI for Regression on Tabular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local surrogates around individual instances (Ribeiro, Singh and Guestrin, 2016).</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Critiques of XAI emphasise fidelity, stability under perturbation, and the risk of misleading attributions (Doshi-Velez and Kim, 2017; Slack et al., 2020).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 providing, to the author's knowledge, one of the first quantitative assessments of explanation stability under geographic federated partitioning for building energy data.</w:t>
      </w:r>
    </w:p>
    <w:p>
      <w:pPr>
        <w:pStyle w:val="Heading2"/>
        <w:spacing w:after="120" w:before="280"/>
      </w:pPr>
      <w:r>
        <w:rPr>
          <w:rFonts w:ascii="Times New Roman" w:cs="Times New Roman" w:eastAsia="Times New Roman" w:hAnsi="Times New Roman"/>
          <w:b/>
          <w:bCs/>
          <w:color w:val="1F3864"/>
          <w:sz w:val="26"/>
          <w:szCs w:val="26"/>
        </w:rPr>
        <w:t xml:space="preserve">2.4 Regulatory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pPr>
        <w:pStyle w:val="Heading2"/>
        <w:spacing w:after="120" w:before="280"/>
      </w:pPr>
      <w:r>
        <w:rPr>
          <w:rFonts w:ascii="Times New Roman" w:cs="Times New Roman" w:eastAsia="Times New Roman" w:hAnsi="Times New Roman"/>
          <w:b/>
          <w:bCs/>
          <w:color w:val="1F3864"/>
          <w:sz w:val="26"/>
          <w:szCs w:val="26"/>
        </w:rPr>
        <w:t xml:space="preserve">2.5 Tabular Learning for Energy Intensity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values. Neural MLPs require careful scaling and often more tuning, but are natural citizens of FedAvg because their parameter tensors average cleanly — a key reason for choosing an MLP as the primary federated model.</w:t>
      </w:r>
    </w:p>
    <w:p>
      <w:pPr>
        <w:pStyle w:val="Heading2"/>
        <w:spacing w:after="120" w:before="280"/>
      </w:pPr>
      <w:r>
        <w:rPr>
          <w:rFonts w:ascii="Times New Roman" w:cs="Times New Roman" w:eastAsia="Times New Roman" w:hAnsi="Times New Roman"/>
          <w:b/>
          <w:bCs/>
          <w:color w:val="1F3864"/>
          <w:sz w:val="26"/>
          <w:szCs w:val="26"/>
        </w:rPr>
        <w:t xml:space="preserve">2.6 Related Work Synthesis and Research Gap</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Synthesising the above: (i) tabular ML on EPCs is mature for centralised prediction; (ii) FL is theoretically and practically ready for multi-organisation building data; (iii) SHAP and LIME are established for tabular regression; (iv) integrated evaluation of accuracy and explanation stability for UK high-rise EPC FL is absent from the literature. No identified study simultaneously revises high-rise filters against bulk schema reality, compares centralised ensembles with FedAvg on London, Manchester, and Birmingham partitions, and reports Spearman stability of SHAP rankings across those regimes.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Area</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Existing Work</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PP-XAI Contribution</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High-rise EPC filtering</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Aspirational thresholds; no audit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Schema audit; revised ≥5 proxy documented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EPC ML</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Extensive (Chen et al., 2023; Wei et al., 2018)</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Replicated with leakage control</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Smart meters; no EPC</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First FL on UK EPC high-rise partitions</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XAI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only (Molnar, 2022)</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 under FL evaluated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 XAI joint evaluation</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None identified in built environment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stability metric introduced</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2.1: Research gap analysis — existing work versus PP-XAI contribution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3 translates this gap analysis into a concrete empirical protocol.</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3 — Methodology</w:t>
      </w:r>
    </w:p>
    <w:p>
      <w:pPr>
        <w:pStyle w:val="Heading2"/>
        <w:spacing w:after="120" w:before="280"/>
      </w:pPr>
      <w:r>
        <w:rPr>
          <w:rFonts w:ascii="Times New Roman" w:cs="Times New Roman" w:eastAsia="Times New Roman" w:hAnsi="Times New Roman"/>
          <w:b/>
          <w:bCs/>
          <w:color w:val="1F3864"/>
          <w:sz w:val="26"/>
          <w:szCs w:val="26"/>
        </w:rPr>
        <w:t xml:space="preserve">3.1 Research Design Overview</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XAI explanation fidelity under federated conditions — directly addressing RQ1–RQ4.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r>
        <w:rPr>
          <w:rFonts w:ascii="Times New Roman" w:hAnsi="Times New Roman"/>
          <w:sz w:val="22"/>
        </w:rPr>
        <w:t>The following hypotheses operationalise the research questions:</w:t>
      </w:r>
    </w:p>
    <w:p>
      <w:r>
        <w:rPr>
          <w:rFonts w:ascii="Times New Roman" w:hAnsi="Times New Roman"/>
          <w:sz w:val="22"/>
        </w:rPr>
        <w:t>H1: Federated Averaging achieves test RMSE within 5% of the centralised MLP on the same held-out set.</w:t>
      </w:r>
    </w:p>
    <w:p>
      <w:r>
        <w:rPr>
          <w:rFonts w:ascii="Times New Roman" w:hAnsi="Times New Roman"/>
          <w:sz w:val="22"/>
        </w:rPr>
        <w:t>H2: Spearman rank correlation of mean |SHAP| profiles between centralised and federated models exceeds 0.85.</w:t>
      </w:r>
    </w:p>
    <w:p>
      <w:r>
        <w:rPr>
          <w:rFonts w:ascii="Times New Roman" w:hAnsi="Times New Roman"/>
          <w:sz w:val="22"/>
        </w:rPr>
        <w:t>H3: Top-5 influential building features are consistent across at least 80% of federated clients (operationalised via pairwise Jaccard similarity of per-client top-5 sets; pass if average Jaccard &gt; 0.60).</w:t>
      </w:r>
    </w:p>
    <w:p>
      <w:r>
        <w:rPr>
          <w:rFonts w:ascii="Times New Roman" w:hAnsi="Times New Roman"/>
          <w:sz w:val="22"/>
        </w:rPr>
        <w:t>H4: The Streamlit prototype can present SHAP/LIME outputs with an EU AI Act Article 13 transparency note suitable for stakeholder demonstration.</w:t>
      </w:r>
    </w:p>
    <w:p>
      <w:pPr>
        <w:pStyle w:val="Heading2"/>
        <w:spacing w:after="120" w:before="280"/>
      </w:pPr>
      <w:r>
        <w:rPr>
          <w:rFonts w:ascii="Times New Roman" w:cs="Times New Roman" w:eastAsia="Times New Roman" w:hAnsi="Times New Roman"/>
          <w:b/>
          <w:bCs/>
          <w:color w:val="1F3864"/>
          <w:sz w:val="26"/>
          <w:szCs w:val="26"/>
        </w:rPr>
        <w:t xml:space="preserve">3.2 Data Sources and Licensing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Primary data are UK EPC bulk certificate CSVs for domestic and non-domestic buildings, published under Open Government Licence v3.0 via the Ministry of Housing, Communities and Local Government EPC portal. Certificate years 2018–2026 were scanned in chunked mode to manage memory constraints (domestic national files exceed several gigabytes per year). Recommendations CSVs were not used; prediction targets and modelling features reside on certificates only.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pStyle w:val="Heading2"/>
        <w:spacing w:after="120" w:before="280"/>
      </w:pPr>
      <w:r>
        <w:rPr>
          <w:rFonts w:ascii="Times New Roman" w:cs="Times New Roman" w:eastAsia="Times New Roman" w:hAnsi="Times New Roman"/>
          <w:b/>
          <w:bCs/>
          <w:color w:val="1F3864"/>
          <w:sz w:val="26"/>
          <w:szCs w:val="26"/>
        </w:rPr>
        <w:t xml:space="preserve">3.3 High-Rise Filtering Strategy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w:t>
            </w:r>
          </w:p>
        </w:tc>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Inclusion Rules</w:t>
            </w:r>
          </w:p>
        </w:tc>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Target Variable</w:t>
            </w:r>
          </w:p>
        </w:tc>
        <w:tc>
          <w:tcPr>
            <w:tcW w:type="dxa" w:w="1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Rationale</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Domestic (1A)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property_type = Flat; flat_storey_count ≥ 5;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energy_consumption_current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Honest mid/high-rise proxy</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Non-domestic (1B)</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floor_area ≥ 5,000 m²; exclude schools, hospitals, worship, sports;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primary_energy_value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high-rise proxy</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3.1: High-rise filtering strategy and target variable selection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pPr>
        <w:pStyle w:val="Heading2"/>
        <w:spacing w:after="120" w:before="280"/>
      </w:pPr>
      <w:r>
        <w:rPr>
          <w:rFonts w:ascii="Times New Roman" w:cs="Times New Roman" w:eastAsia="Times New Roman" w:hAnsi="Times New Roman"/>
          <w:b/>
          <w:bCs/>
          <w:color w:val="1F3864"/>
          <w:sz w:val="26"/>
          <w:szCs w:val="26"/>
        </w:rPr>
        <w:t xml:space="preserve">3.4 Preprocessing Pipeline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EPCPreprocessor class in src/data/preprocessor.py applies the following pipeline: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Frame preparation and target outlier clipping at the 1st–99th percentile range to remove extreme values.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Median imputation for numeric features (floor_area, storey_count) and most-frequent imputation for categorical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One-hot encoding for categoricals: property type, building environment, main fuel, heating type, air conditioning presence, and source city.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Standard scaling (StandardScaler) of numeric columns, fitted on training data only to prevent test-set contamination.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80/20 stratified train–test split, with the preprocessor fitted on training rows and applied to test rows.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fitted ColumnTransformer is persisted to data/processed/preprocessor.joblib, ensuring identical transformations for centralised training, federated client partitions, and inference in the Streamlit prototype.</w:t>
      </w:r>
    </w:p>
    <w:p>
      <w:pPr>
        <w:pStyle w:val="Heading2"/>
        <w:spacing w:after="120" w:before="280"/>
      </w:pPr>
      <w:r>
        <w:rPr>
          <w:rFonts w:ascii="Times New Roman" w:cs="Times New Roman" w:eastAsia="Times New Roman" w:hAnsi="Times New Roman"/>
          <w:b/>
          <w:bCs/>
          <w:color w:val="1F3864"/>
          <w:sz w:val="26"/>
          <w:szCs w:val="26"/>
        </w:rPr>
        <w:t xml:space="preserve">3.5 Federated Partitioning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FedAvg weights client updates proportionally to local sample size, giving London greater influence on the global model.</w:t>
      </w:r>
    </w:p>
    <w:p>
      <w:pPr>
        <w:pStyle w:val="Heading2"/>
        <w:spacing w:after="120" w:before="280"/>
      </w:pPr>
      <w:r>
        <w:rPr>
          <w:rFonts w:ascii="Times New Roman" w:cs="Times New Roman" w:eastAsia="Times New Roman" w:hAnsi="Times New Roman"/>
          <w:b/>
          <w:bCs/>
          <w:color w:val="1F3864"/>
          <w:sz w:val="26"/>
          <w:szCs w:val="26"/>
        </w:rPr>
        <w:t xml:space="preserve">3.6 Centralised Baseline Models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is designated for primary SHAP comparison.</w:t>
      </w:r>
    </w:p>
    <w:p>
      <w:pPr>
        <w:pStyle w:val="Heading2"/>
        <w:spacing w:after="120" w:before="280"/>
      </w:pPr>
      <w:r>
        <w:rPr>
          <w:rFonts w:ascii="Times New Roman" w:cs="Times New Roman" w:eastAsia="Times New Roman" w:hAnsi="Times New Roman"/>
          <w:b/>
          <w:bCs/>
          <w:color w:val="1F3864"/>
          <w:sz w:val="26"/>
          <w:szCs w:val="26"/>
        </w:rPr>
        <w:t xml:space="preserve">3.7 Federated Learning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 energy MLP (EnergyMLP in src/federated/fl_client.py) is trained with an in-process FedAvg simulator for eight rounds and four local epochs per round, using Adam optimiser and MSE loss. Client updates are averaged with weights proportional to local sample sizes. The in-process simulator is chosen for reproducibility on a single machine, avoiding network complexity whilst correctly implementing the FedAvg aggregation logic. FedProx (Li et al., 2020) with μ = 0.01 is also implemented and convergence results are documented. The Flower framework (Beutel et al., 2020) provides the client–server abstractions.</w:t>
      </w:r>
    </w:p>
    <w:p>
      <w:pPr>
        <w:pStyle w:val="Heading2"/>
        <w:spacing w:after="120" w:before="280"/>
      </w:pPr>
      <w:r>
        <w:rPr>
          <w:rFonts w:ascii="Times New Roman" w:cs="Times New Roman" w:eastAsia="Times New Roman" w:hAnsi="Times New Roman"/>
          <w:b/>
          <w:bCs/>
          <w:color w:val="1F3864"/>
          <w:sz w:val="26"/>
          <w:szCs w:val="26"/>
        </w:rPr>
        <w:t xml:space="preserve">3.8 Explainability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On a shared subsample (background ≈ 80 training rows; explain ≈ 60 test rows), SHAP KernelExplainer is applied to both the best centralised model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is quantified as: Separately, Hypothesis H3 is tested by applying the centralised Gradient Boosting model to each city client matrix and computing TreeExplainer mean |SHAP| rankings per client, then measuring pairwise Jaccard overlap of the top-5 feature sets (scripts/run_h3_per_client_shap.py).</w:t>
      </w:r>
    </w:p>
    <w:p>
      <w:pPr>
        <w:spacing w:after="60" w:before="0"/>
      </w:pPr>
    </w:p>
    <w:p>
      <w:pPr>
        <w:spacing w:after="100" w:before="0" w:line="360" w:lineRule="auto"/>
        <w:jc w:val="both"/>
      </w:pPr>
      <w:r>
        <w:rPr>
          <w:rFonts w:ascii="Times New Roman" w:cs="Times New Roman" w:eastAsia="Times New Roman" w:hAnsi="Times New Roman"/>
          <w:b/>
          <w:bCs/>
          <w:caps w:val="false"/>
          <w:color w:val="000000"/>
          <w:sz w:val="24"/>
          <w:szCs w:val="24"/>
        </w:rPr>
        <w:t xml:space="preserve">Spearman Rank Correlation (ρ):</w:t>
      </w:r>
      <w:r>
        <w:rPr>
          <w:rFonts w:ascii="Times New Roman" w:cs="Times New Roman" w:eastAsia="Times New Roman" w:hAnsi="Times New Roman"/>
          <w:b w:val="false"/>
          <w:bCs w:val="false"/>
          <w:caps w:val="false"/>
          <w:color w:val="000000"/>
          <w:sz w:val="24"/>
          <w:szCs w:val="24"/>
        </w:rPr>
        <w:t xml:space="preserve"> Correlation between ranked mean |SHAP| profiles of centralised and federated models. Target: ρ &gt; 0.85. A high ρ indicates feature importance rankings are similarly ordered across training regimes.</w:t>
      </w:r>
    </w:p>
    <w:p>
      <w:pPr>
        <w:pStyle w:val="Heading2"/>
        <w:spacing w:after="120" w:before="280"/>
      </w:pPr>
      <w:r>
        <w:rPr>
          <w:rFonts w:ascii="Times New Roman" w:cs="Times New Roman" w:eastAsia="Times New Roman" w:hAnsi="Times New Roman"/>
          <w:b/>
          <w:bCs/>
          <w:color w:val="1F3864"/>
          <w:sz w:val="26"/>
          <w:szCs w:val="26"/>
        </w:rPr>
        <w:t xml:space="preserve">3.9 Statistical Testing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 Additionally, bootstrap percentile 95% confidence intervals (2,000 resamples) are computed for RMSE of both models to assess whether the accuracy gap is robust relative to sampling variability (scripts/run_bootstrap_ci.py).</w:t>
      </w:r>
    </w:p>
    <w:p>
      <w:pPr>
        <w:pStyle w:val="Heading2"/>
        <w:spacing w:after="120" w:before="280"/>
      </w:pPr>
      <w:r>
        <w:rPr>
          <w:rFonts w:ascii="Times New Roman" w:cs="Times New Roman" w:eastAsia="Times New Roman" w:hAnsi="Times New Roman"/>
          <w:b/>
          <w:bCs/>
          <w:color w:val="1F3864"/>
          <w:sz w:val="26"/>
          <w:szCs w:val="26"/>
        </w:rPr>
        <w:t xml:space="preserve">3.10 Ethical Considerations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4 — Results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All numeric results correspond to pipeline artefacts in results/tables/ and results/figures/ from the final successful run. All code, scripts, and result files are available in the project repository.</w:t>
      </w:r>
    </w:p>
    <w:p>
      <w:pPr>
        <w:pStyle w:val="Heading2"/>
        <w:spacing w:after="120" w:before="280"/>
      </w:pPr>
      <w:r>
        <w:rPr>
          <w:rFonts w:ascii="Times New Roman" w:cs="Times New Roman" w:eastAsia="Times New Roman" w:hAnsi="Times New Roman"/>
          <w:b/>
          <w:bCs/>
          <w:color w:val="1F3864"/>
          <w:sz w:val="26"/>
          <w:szCs w:val="26"/>
        </w:rPr>
        <w:t xml:space="preserve">4.1 Dataset Construction Outcomes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Client</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Records (n)</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Mean Energy (kWh/m²/yr)</w:t>
            </w:r>
          </w:p>
        </w:tc>
        <w:tc>
          <w:tcPr>
            <w:tcW w:type="dxa" w:w="2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 Mix</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3,449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234.0</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Manchester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1,160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242.1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Birmingham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1,054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243.1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99.3%, Residential 0.7%</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Combined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5,663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237.4 (σ=194.7)</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Commercial 99.4%, Residential 0.6%</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4.1: Dataset partition statistics after high-rise and geographic filtering</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Preprocessing yielded 4,439 training and 1,110 test samples with 87 one-hot-expanded features after encoding. The 99.4% commercial composition reflects the sparsity of domestic storey metadata in bulk EPC exports — a key finding discussed in Chapter 5.</w:t>
      </w:r>
    </w:p>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eda_target_hist.png"/>
                    <pic:cNvPicPr/>
                  </pic:nvPicPr>
                  <pic:blipFill>
                    <a:blip r:embed="rId12"/>
                    <a:stretch>
                      <a:fillRect/>
                    </a:stretch>
                  </pic:blipFill>
                  <pic:spPr>
                    <a:xfrm>
                      <a:off x="0" y="0"/>
                      <a:ext cx="4320000" cy="2160000"/>
                    </a:xfrm>
                    <a:prstGeom prst="rect"/>
                  </pic:spPr>
                </pic:pic>
              </a:graphicData>
            </a:graphic>
          </wp:inline>
        </w:drawing>
      </w:r>
    </w:p>
    <w:p>
      <w:pPr>
        <w:pStyle w:val="Caption"/>
        <w:jc w:val="center"/>
      </w:pPr>
      <w:r>
        <w:rPr>
          <w:rFonts w:ascii="Times New Roman" w:hAnsi="Times New Roman" w:eastAsia="Times New Roman"/>
          <w:b w:val="0"/>
          <w:i/>
          <w:sz w:val="20"/>
        </w:rPr>
        <w:t>Figure 4.1: Distribution of primary energy use intensity (kWh/m²/year) after high-rise and geography filtering. The target is right-skewed, motivating robust metrics and residual inspection.</w:t>
      </w:r>
    </w:p>
    <w:p/>
    <w:p>
      <w:pPr>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eda_city_counts.png"/>
                    <pic:cNvPicPr/>
                  </pic:nvPicPr>
                  <pic:blipFill>
                    <a:blip r:embed="rId13"/>
                    <a:stretch>
                      <a:fillRect/>
                    </a:stretch>
                  </pic:blipFill>
                  <pic:spPr>
                    <a:xfrm>
                      <a:off x="0" y="0"/>
                      <a:ext cx="4320000" cy="2880000"/>
                    </a:xfrm>
                    <a:prstGeom prst="rect"/>
                  </pic:spPr>
                </pic:pic>
              </a:graphicData>
            </a:graphic>
          </wp:inline>
        </w:drawing>
      </w:r>
    </w:p>
    <w:p>
      <w:pPr>
        <w:pStyle w:val="Caption"/>
        <w:jc w:val="center"/>
      </w:pPr>
      <w:r>
        <w:rPr>
          <w:rFonts w:ascii="Times New Roman" w:hAnsi="Times New Roman" w:eastAsia="Times New Roman"/>
          <w:b w:val="0"/>
          <w:i/>
          <w:sz w:val="20"/>
        </w:rPr>
        <w:t>Figure 4.2: Sample counts by client city. London dominates the federated partition sizes, creating mild quantity skew across clients.</w:t>
      </w:r>
    </w:p>
    <w:p/>
    <w:p>
      <w:pPr>
        <w:jc w:val="center"/>
      </w:pPr>
      <w:r>
        <w:drawing>
          <wp:inline xmlns:a="http://schemas.openxmlformats.org/drawingml/2006/main" xmlns:pic="http://schemas.openxmlformats.org/drawingml/2006/picture">
            <wp:extent cx="4320000" cy="2468571"/>
            <wp:docPr id="4" name="Picture 4"/>
            <wp:cNvGraphicFramePr>
              <a:graphicFrameLocks noChangeAspect="1"/>
            </wp:cNvGraphicFramePr>
            <a:graphic>
              <a:graphicData uri="http://schemas.openxmlformats.org/drawingml/2006/picture">
                <pic:pic>
                  <pic:nvPicPr>
                    <pic:cNvPr id="0" name="eda_energy_by_city.png"/>
                    <pic:cNvPicPr/>
                  </pic:nvPicPr>
                  <pic:blipFill>
                    <a:blip r:embed="rId14"/>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p>
    <w:p/>
    <w:p>
      <w:pPr>
        <w:jc w:val="center"/>
      </w:pPr>
      <w:r>
        <w:drawing>
          <wp:inline xmlns:a="http://schemas.openxmlformats.org/drawingml/2006/main" xmlns:pic="http://schemas.openxmlformats.org/drawingml/2006/picture">
            <wp:extent cx="4320000" cy="2468571"/>
            <wp:docPr id="5" name="Picture 5"/>
            <wp:cNvGraphicFramePr>
              <a:graphicFrameLocks noChangeAspect="1"/>
            </wp:cNvGraphicFramePr>
            <a:graphic>
              <a:graphicData uri="http://schemas.openxmlformats.org/drawingml/2006/picture">
                <pic:pic>
                  <pic:nvPicPr>
                    <pic:cNvPr id="0" name="eda_area_vs_energy.png"/>
                    <pic:cNvPicPr/>
                  </pic:nvPicPr>
                  <pic:blipFill>
                    <a:blip r:embed="rId15"/>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4.4: Floor area versus primary energy intensity. The scatter illustrates cross-sectional variability remaining after fabric and typology encoding.</w:t>
      </w:r>
    </w:p>
    <w:p/>
    <w:p>
      <w:pPr>
        <w:pStyle w:val="Heading2"/>
        <w:spacing w:after="120" w:before="280"/>
      </w:pPr>
      <w:r>
        <w:rPr>
          <w:rFonts w:ascii="Times New Roman" w:cs="Times New Roman" w:eastAsia="Times New Roman" w:hAnsi="Times New Roman"/>
          <w:b/>
          <w:bCs/>
          <w:color w:val="1F3864"/>
          <w:sz w:val="26"/>
          <w:szCs w:val="26"/>
        </w:rPr>
        <w:t xml:space="preserve">4.2 Centralised Baseline Performance (RQ1 — Centralised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4.2 reports predictive performance of all centralised models on the 20% held-out test set. Gradient Boosting achieves the lowest RMSE (113.04) and highest R² (0.559), establishing it as the primary centralised comparator.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Model</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RMSE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R²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MAPE (%) ↓</w:t>
            </w:r>
          </w:p>
        </w:tc>
      </w:tr>
      <w:tr>
        <w:tc>
          <w:tcPr>
            <w:tcW w:type="dxa" w:w="2800"/>
            <w:tcBorders>
              <w:top w:val="single" w:color="000000" w:sz="6"/>
              <w:left w:val="single" w:color="000000" w:sz="6"/>
              <w:bottom w:val="single" w:color="000000" w:sz="6"/>
              <w:right w:val="single" w:color="000000" w:sz="6"/>
            </w:tcBorders>
            <w:shd w:fill="D9EAD3"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Gradient Boosting ★</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113.04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80.02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0.559</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47.30</w:t>
            </w:r>
          </w:p>
        </w:tc>
      </w:tr>
      <w:tr>
        <w:tc>
          <w:tcPr>
            <w:tcW w:type="dxa" w:w="2800"/>
            <w:tcBorders>
              <w:top w:val="single" w:color="000000" w:sz="6"/>
              <w:left w:val="single" w:color="000000" w:sz="6"/>
              <w:bottom w:val="single" w:color="000000" w:sz="6"/>
              <w:right w:val="single" w:color="000000" w:sz="6"/>
            </w:tcBorders>
            <w:shd w:fill="FFF2CC"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MLP (Centralised)</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83.56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0.528</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46.76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XGBoost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117.36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80.95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46.46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117.75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82.66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47.30</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LightGBM</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120.12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84.13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0.503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47.79</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4.2: Centralised baseline model performance on the 20% held-out test set. ★ = best centralised model by RMSE. ↓ = lower is better; ↑ = higher is better.</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p>
      <w:pPr>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baseline_rmse.png"/>
                    <pic:cNvPicPr/>
                  </pic:nvPicPr>
                  <pic:blipFill>
                    <a:blip r:embed="rId16"/>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4.5: Centralised baseline RMSE comparison. Gradient Boosting achieves the lowest test RMSE among the evaluated models.</w:t>
      </w:r>
    </w:p>
    <w:p/>
    <w:p>
      <w:pPr>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baseline_r2.png"/>
                    <pic:cNvPicPr/>
                  </pic:nvPicPr>
                  <pic:blipFill>
                    <a:blip r:embed="rId17"/>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4.6: Centralised baseline R² comparison. Absolute accuracy remains moderate (R² ≈ 0.50–0.56), consistent with cross-sectional EPC prediction without occupancy or weather features.</w:t>
      </w:r>
    </w:p>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red_vs_actual_gradient_boosting.png"/>
                    <pic:cNvPicPr/>
                  </pic:nvPicPr>
                  <pic:blipFill>
                    <a:blip r:embed="rId18"/>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 Predicted versus actual primary energy intensity for the best centralised model (Gradient Boosting). Absolute errors increase at higher intensities.</w:t>
      </w:r>
    </w:p>
    <w:p>
      <w:pPr>
        <w:spacing w:after="80" w:before="0"/>
      </w:pPr>
    </w:p>
    <w:p>
      <w:pPr>
        <w:jc w:val="center"/>
      </w:pPr>
      <w:r>
        <w:drawing>
          <wp:inline xmlns:a="http://schemas.openxmlformats.org/drawingml/2006/main" xmlns:pic="http://schemas.openxmlformats.org/drawingml/2006/picture">
            <wp:extent cx="4320000" cy="4320000"/>
            <wp:docPr id="21" name="Picture 21"/>
            <wp:cNvGraphicFramePr>
              <a:graphicFrameLocks noChangeAspect="1"/>
            </wp:cNvGraphicFramePr>
            <a:graphic>
              <a:graphicData uri="http://schemas.openxmlformats.org/drawingml/2006/picture">
                <pic:pic>
                  <pic:nvPicPr>
                    <pic:cNvPr id="0" name="pred_vs_actual_mlp.png"/>
                    <pic:cNvPicPr/>
                  </pic:nvPicPr>
                  <pic:blipFill>
                    <a:blip r:embed="rId21"/>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p>
    <w:p>
      <w:pPr>
        <w:spacing w:after="100" w:before="0"/>
      </w:pPr>
    </w:p>
    <w:p/>
    <w:p>
      <w:pPr>
        <w:pStyle w:val="Heading2"/>
        <w:spacing w:after="120" w:before="280"/>
      </w:pPr>
      <w:r>
        <w:rPr>
          <w:rFonts w:ascii="Times New Roman" w:cs="Times New Roman" w:eastAsia="Times New Roman" w:hAnsi="Times New Roman"/>
          <w:b/>
          <w:bCs/>
          <w:color w:val="1F3864"/>
          <w:sz w:val="26"/>
          <w:szCs w:val="26"/>
        </w:rPr>
        <w:t xml:space="preserve">4.3 Federated Averaging Performance (RQ1)</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Table 4.3 reports the FedAvg MLP convergence across eight training rounds. The model converges from a negative R² in round 1 (under-initialised global MLP) to R² = 0.518 by round 8 — closely matching the centralised MLP (R² = 0.528).</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FL Round</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RMSE</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R²</w:t>
            </w:r>
          </w:p>
        </w:tc>
        <w:tc>
          <w:tcPr>
            <w:tcW w:type="dxa" w:w="25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Convergence Stage</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201.51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-0.400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Initialisation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142.47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0.300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128.19</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0.433</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121.67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0.490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119.21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0.510</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118.57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0.515</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118.38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0.517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118.21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0.518</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Final</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4.3: FedAvg MLP convergence across eight federated rounds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Final federated metrics: RMSE = 118.21, MAE = 84.81, R² = 0.518, MAPE = 49.45%.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FedProx (Li et al., 2020) with proximal regularisation term μ = 0.01 was also evaluated. As visible in Figure 4.8, FedProx converges slightly faster than FedAvg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FedProx advantage is most pronounced under strong distributional skew, which the three-city partition does not fully exhibit. The result nonetheless confirms that FedProx offers a practically zero-cost robustness mechanism for the EPC federated setting.</w:t>
      </w:r>
    </w:p>
    <w:p/>
    <w:p>
      <w:pPr>
        <w:jc w:val="center"/>
      </w:pPr>
      <w:r>
        <w:drawing>
          <wp:inline xmlns:a="http://schemas.openxmlformats.org/drawingml/2006/main" xmlns:pic="http://schemas.openxmlformats.org/drawingml/2006/picture">
            <wp:extent cx="4680000" cy="2632500"/>
            <wp:docPr id="9" name="Picture 9"/>
            <wp:cNvGraphicFramePr>
              <a:graphicFrameLocks noChangeAspect="1"/>
            </wp:cNvGraphicFramePr>
            <a:graphic>
              <a:graphicData uri="http://schemas.openxmlformats.org/drawingml/2006/picture">
                <pic:pic>
                  <pic:nvPicPr>
                    <pic:cNvPr id="0" name="federated_convergence.png"/>
                    <pic:cNvPicPr/>
                  </pic:nvPicPr>
                  <pic:blipFill>
                    <a:blip r:embed="rId19"/>
                    <a:stretch>
                      <a:fillRect/>
                    </a:stretch>
                  </pic:blipFill>
                  <pic:spPr>
                    <a:xfrm>
                      <a:off x="0" y="0"/>
                      <a:ext cx="4680000" cy="2632500"/>
                    </a:xfrm>
                    <a:prstGeom prst="rect"/>
                  </pic:spPr>
                </pic:pic>
              </a:graphicData>
            </a:graphic>
          </wp:inline>
        </w:drawing>
      </w:r>
    </w:p>
    <w:p>
      <w:pPr>
        <w:pStyle w:val="Caption"/>
        <w:jc w:val="center"/>
      </w:pPr>
      <w:r>
        <w:rPr>
          <w:rFonts w:ascii="Times New Roman" w:hAnsi="Times New Roman" w:eastAsia="Times New Roman"/>
          <w:b w:val="0"/>
          <w:i/>
          <w:sz w:val="20"/>
        </w:rPr>
        <w:t>Figure 4.8: Federated learning convergence — FedAvg vs FedProx (μ = 0.01). Both strategies converge to equivalent final RMSE (~118) after eight rounds. FedProx converges marginally faster in rounds 2–4, consistent with its proximal regularisation reducing early client drift under the geographic non-IID partition.</w:t>
      </w:r>
    </w:p>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red_vs_actual_federated.png"/>
                    <pic:cNvPicPr/>
                  </pic:nvPicPr>
                  <pic:blipFill>
                    <a:blip r:embed="rId20"/>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4.9: Predicted versus actual primary energy intensity for the federated MLP. Residual magnitude pattern is similar to the centralised tree model, with slightly higher MAE.</w:t>
      </w:r>
    </w:p>
    <w:p/>
    <w:p>
      <w:pPr>
        <w:pStyle w:val="Heading3"/>
      </w:pPr>
      <w:r>
        <w:rPr>
          <w:rFonts w:ascii="Times New Roman" w:hAnsi="Times New Roman"/>
          <w:sz w:val="22"/>
        </w:rPr>
        <w:t>4.3.1 Extended Federated Convergence (20 rounds)</w:t>
      </w:r>
    </w:p>
    <w:p>
      <w:r>
        <w:rPr>
          <w:rFonts w:ascii="Times New Roman" w:hAnsi="Times New Roman"/>
          <w:sz w:val="22"/>
        </w:rPr>
        <w:t>To assess whether the eight-round schedule understates attainable federated performance, FedAvg and FedProx (μ = 0.01) were extended to 20 rounds under the same architecture and local-epoch settings (scripts/run_federated_20rounds.py). This extension is reported alongside—not as a replacement for—the primary eight-round results in Table 4.3. FedAvg improved from RMSE 117.80 at round 8 to 116.23 at round 20 (final R² = 0.534). FedProx reached RMSE 115.48 (final R² = 0.540), slightly outperforming FedAvg at the longer horizon. Both strategies were already within 5% of the centralised MLP RMSE by round 4. Figure 4.13 shows the 20-round trajectories with centralised MLP and Gradient Boosting RMSE reference lines.</w:t>
      </w:r>
    </w:p>
    <w:p>
      <w:r>
        <w:rPr>
          <w:rFonts w:ascii="Times New Roman" w:hAnsi="Times New Roman"/>
          <w:sz w:val="22"/>
        </w:rPr>
        <w:t>Checkpoint comparison (Test RMSE): FedAvg — R8 117.80, R12 117.19, R16 116.51, R20 116.23; FedProx — R8 118.12, R12 117.15, R16 116.30, R20 115.48 (results/tables/fl_strategy_comparison.csv).</w:t>
      </w:r>
    </w:p>
    <w:p/>
    <w:p>
      <w:pPr>
        <w:jc w:val="center"/>
      </w:pPr>
      <w:r>
        <w:drawing>
          <wp:inline xmlns:a="http://schemas.openxmlformats.org/drawingml/2006/main" xmlns:pic="http://schemas.openxmlformats.org/drawingml/2006/picture">
            <wp:extent cx="5220000" cy="2900000"/>
            <wp:docPr id="22" name="Picture 22"/>
            <wp:cNvGraphicFramePr>
              <a:graphicFrameLocks noChangeAspect="1"/>
            </wp:cNvGraphicFramePr>
            <a:graphic>
              <a:graphicData uri="http://schemas.openxmlformats.org/drawingml/2006/picture">
                <pic:pic>
                  <pic:nvPicPr>
                    <pic:cNvPr id="0" name="federated_convergence_20rounds.png"/>
                    <pic:cNvPicPr/>
                  </pic:nvPicPr>
                  <pic:blipFill>
                    <a:blip r:embed="rId22"/>
                    <a:stretch>
                      <a:fillRect/>
                    </a:stretch>
                  </pic:blipFill>
                  <pic:spPr>
                    <a:xfrm>
                      <a:off x="0" y="0"/>
                      <a:ext cx="5220000" cy="2900000"/>
                    </a:xfrm>
                    <a:prstGeom prst="rect"/>
                  </pic:spPr>
                </pic:pic>
              </a:graphicData>
            </a:graphic>
          </wp:inline>
        </w:drawing>
      </w:r>
    </w:p>
    <w:p>
      <w:pPr>
        <w:pStyle w:val="Caption"/>
        <w:jc w:val="center"/>
      </w:pPr>
      <w:r>
        <w:rPr>
          <w:i/>
          <w:sz w:val="20"/>
        </w:rPr>
        <w:t>Figure 4.13: Federated convergence over 20 rounds (FedAvg vs FedProx) with centralised MLP and Gradient Boosting RMSE reference lines.</w:t>
      </w:r>
    </w:p>
    <w:p/>
    <w:p>
      <w:pPr>
        <w:pStyle w:val="Heading2"/>
        <w:spacing w:after="120" w:before="280"/>
      </w:pPr>
      <w:r>
        <w:rPr>
          <w:rFonts w:ascii="Times New Roman" w:cs="Times New Roman" w:eastAsia="Times New Roman" w:hAnsi="Times New Roman"/>
          <w:b/>
          <w:bCs/>
          <w:color w:val="1F3864"/>
          <w:sz w:val="26"/>
          <w:szCs w:val="26"/>
        </w:rPr>
        <w:t xml:space="preserve">4.4 Statistical Comparison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tests on absolute errors compare the best centralised model (Gradient Boosting) with the federated MLP on the 1,110-record test set: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Statistic</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Interpretation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Wilcoxon signed-rank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W = 262,557.5</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1.85e-05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Paired t-test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t = -3.96</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7.97e-05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MAE gap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80.02 vs 84.81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Δ = 4.79 kWh/m²/yr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Practically modest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GB RMSE 95% CI (bootstrap)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113.04</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[105.94 – 120.08]</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n=2000 resamples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Federated RMSE 95% CI (bootstrap)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118.21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[110.81 – 125.43]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CIs overlap: YES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Cohen's d (abs. errors)</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0.059</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negligible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Negligible practical effect</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4.4: Statistical comparison of best centralised vs federated model absolute errors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Together with the significant paired tests, this supports H1's practical reading: the federated–central gap is detectable but small in magnitude.</w:t>
      </w:r>
    </w:p>
    <w:p>
      <w:pPr>
        <w:pStyle w:val="Heading2"/>
        <w:spacing w:after="120" w:before="280"/>
      </w:pPr>
      <w:r>
        <w:rPr>
          <w:rFonts w:ascii="Times New Roman" w:cs="Times New Roman" w:eastAsia="Times New Roman" w:hAnsi="Times New Roman"/>
          <w:b/>
          <w:bCs/>
          <w:color w:val="1F3864"/>
          <w:sz w:val="26"/>
          <w:szCs w:val="26"/>
        </w:rPr>
        <w:t xml:space="preserve">4.5 Explainability Results (RQ2, RQ3)</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Figure 4.10 shows the SHAP feature importance comparison between the centralised Random Forest and the federated weighted-average model. Figure 4.11 shows the full federated SHAP summary.</w:t>
      </w:r>
    </w:p>
    <w:p>
      <w:pPr>
        <w:spacing w:after="100" w:before="0"/>
      </w:pPr>
    </w:p>
    <w:p>
      <w:pPr>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4.10: SHAP comparison — Centralised RF vs Federated weighted average. Blue = centralised; orange = federated. Feature rankings show strong agreement across training regimes.</w:t>
      </w:r>
    </w:p>
    <w:p>
      <w:pPr>
        <w:spacing w:after="80" w:before="0"/>
      </w:pPr>
    </w:p>
    <w:p>
      <w:pPr>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195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4.11: Federated SHAP summary (weighted client aggregation). num__storey_count dominates, followed by commercial property type indicators and fuel type.</w:t>
      </w:r>
    </w:p>
    <w:p>
      <w:pPr>
        <w:spacing w:after="8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Spearman rank correlation between centralised and federated mean |SHAP| profiles: ρ = 0.956, p ≈ 5.7 × 10⁻⁴⁷. This extremely high stability indicates that features important under pooled training remain important under federated training.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80"/>
        <w:gridCol w:w="2680"/>
      </w:tblGrid>
      <w:tr>
        <w:tc>
          <w:tcPr>
            <w:tcW w:type="dxa" w:w="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Rank</w:t>
            </w:r>
          </w:p>
        </w:tc>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Feature (Federated)</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Mean |SHAP|</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Centralised Mean |SHAP|</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num__storey_count</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41.1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cat__property_type_Offices and Workshop Businesses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26.4</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40.5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cat__property_type_A1/A2 Retail and Financial/Professional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cat__property_type_Storage or Distribution</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26.6</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cat__main_fuel_Natural Gas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cat__property_type_Hotels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14.1</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12.3</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cat__property_type_Retail/Financial and 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cat__has_aircon_no</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3.8</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cat__heating_type_Air Conditioning</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9.3</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num__floor_area</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11.4</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4.5: Top-10 feature importance rankings — federated vs centralised SHAP (mean absolute SHAP values)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Answer to RQ2: Federated SHAP explanations are highly stable relative to centralised rankings on this corpus (ρ = 0.956). Answer to RQ3: Dominant features are storey count, commercial property type categories, and natural gas fuel — consistent across training regimes and aligned with building physics theory.</w:t>
      </w:r>
    </w:p>
    <w:p>
      <w:r>
        <w:rPr>
          <w:rFonts w:ascii="Times New Roman" w:hAnsi="Times New Roman"/>
          <w:sz w:val="22"/>
        </w:rPr>
        <w:t>Hypothesis H3 (cross-client top-5 consistency) was evaluated by ranking mean |SHAP| features separately on London, Manchester, and Birmingham client matrices using the centralised Gradient Boosting model (TreeExplainer). Average pairwise Jaccard similarity of the top-5 sets was 0.78 (London–Manchester 0.67; London–Birmingham 0.67; Manchester–Birmingham 1.00). 4/5 top features appeared in all three clients, and 5/5 appeared in at least two clients. H3 STATUS: PASS (average Jaccard &gt; 0.60). Figure 4.14 compares per-client mean |SHAP| for the leading features.</w:t>
      </w:r>
    </w:p>
    <w:p>
      <w:r>
        <w:rPr>
          <w:rFonts w:ascii="Times New Roman" w:hAnsi="Times New Roman"/>
          <w:sz w:val="22"/>
        </w:rPr>
        <w:t>Shared across all clients: storey_count, Offices and Workshop Businesses, Storage or Distribution, and Natural Gas. Hotel-related property-type codes differ slightly in naming between London (C1 Hotels) and the other cities (Hotels), which accounts for the only top-5 disagreement.</w:t>
      </w:r>
    </w:p>
    <w:p/>
    <w:p>
      <w:pPr>
        <w:jc w:val="center"/>
      </w:pPr>
      <w:r>
        <w:drawing>
          <wp:inline xmlns:a="http://schemas.openxmlformats.org/drawingml/2006/main" xmlns:pic="http://schemas.openxmlformats.org/drawingml/2006/picture">
            <wp:extent cx="5220000" cy="2610000"/>
            <wp:docPr id="23" name="Picture 23"/>
            <wp:cNvGraphicFramePr>
              <a:graphicFrameLocks noChangeAspect="1"/>
            </wp:cNvGraphicFramePr>
            <a:graphic>
              <a:graphicData uri="http://schemas.openxmlformats.org/drawingml/2006/picture">
                <pic:pic>
                  <pic:nvPicPr>
                    <pic:cNvPr id="0" name="per_client_shap_comparison.png"/>
                    <pic:cNvPicPr/>
                  </pic:nvPicPr>
                  <pic:blipFill>
                    <a:blip r:embed="rId23"/>
                    <a:stretch>
                      <a:fillRect/>
                    </a:stretch>
                  </pic:blipFill>
                  <pic:spPr>
                    <a:xfrm>
                      <a:off x="0" y="0"/>
                      <a:ext cx="5220000" cy="2610000"/>
                    </a:xfrm>
                    <a:prstGeom prst="rect"/>
                  </pic:spPr>
                </pic:pic>
              </a:graphicData>
            </a:graphic>
          </wp:inline>
        </w:drawing>
      </w:r>
    </w:p>
    <w:p>
      <w:pPr>
        <w:pStyle w:val="Caption"/>
        <w:jc w:val="center"/>
      </w:pPr>
      <w:r>
        <w:rPr>
          <w:i/>
          <w:sz w:val="20"/>
        </w:rPr>
        <w:t>Figure 4.14: Per-client SHAP comparison (centralised Gradient Boosting applied to each city). Bars show mean |SHAP| for the top features by city.</w:t>
      </w:r>
    </w:p>
    <w:p>
      <w:pPr>
        <w:pStyle w:val="Heading2"/>
        <w:spacing w:after="120" w:before="280"/>
      </w:pPr>
      <w:r>
        <w:rPr>
          <w:rFonts w:ascii="Times New Roman" w:cs="Times New Roman" w:eastAsia="Times New Roman" w:hAnsi="Times New Roman"/>
          <w:b/>
          <w:bCs/>
          <w:color w:val="1F3864"/>
          <w:sz w:val="26"/>
          <w:szCs w:val="26"/>
        </w:rPr>
        <w:t xml:space="preserve">4.6 Streamlit Prototype Demonstration (Objective 5)</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Streamlit application at src/webapp/app.py loads artefacts and serves interactive predictions with SHAP global importance tables and LIME local explanations. Figure 4.12 shows the application interface during verification on 18 July 2026, demonstrating a successful prediction of 103.0 kWh/m²/year (Illustrative EPC Band C) for a commercial building in London.</w:t>
      </w:r>
    </w:p>
    <w:p>
      <w:pPr>
        <w:spacing w:after="80" w:before="0"/>
      </w:pPr>
    </w:p>
    <w:p>
      <w:pPr>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096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4.12: PP-XAI Streamlit prototype (localhost:8501, verified 18 July 2026). Shows prediction, global SHAP importance table, and LIME local explanation with EU AI Act transparency note.</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4.7 Summary of Empirical Answers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RQ</w:t>
            </w:r>
          </w:p>
        </w:tc>
        <w:tc>
          <w:tcPr>
            <w:tcW w:type="dxa" w:w="41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Question</w:t>
            </w:r>
          </w:p>
        </w:tc>
        <w:tc>
          <w:tcPr>
            <w:tcW w:type="dxa" w:w="4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Empirical Finding</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RQ1</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accuracy vs centralised?</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FedAvg MLP R² 0.518 ≈ central MLP 0.528; close to best GB 0.559; H1 supported (within ~5% RMSE of central MLP)</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RQ2</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 0.956 between central and federated — very high</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RQ3</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Key features?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Storey count, property type, fuel dominate; H3 PASS (avg Jaccard 0.78; 4/5 top-5 features in all clients)</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RQ4</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XAI for transparency?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Stable explanations + EU AI Act Article 13 compliance note in prototype</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4.6: Summary of empirical answers to research questions</w:t>
      </w:r>
    </w:p>
    <w:p>
      <w:r>
        <w:rPr>
          <w:rFonts w:ascii="Times New Roman" w:hAnsi="Times New Roman"/>
          <w:sz w:val="22"/>
        </w:rPr>
        <w:t>Hypothesis verdicts: H1 supported (federated RMSE 118.21 within ~5% of central MLP 117.04; bootstrap CIs overlap; Cohen's d = 0.059). H2 supported (Spearman ρ = 0.956 &gt; 0.85). H3 PASS (average Jaccard = 0.78). H4 supported qualitatively via the Streamlit prototype with an EU AI Act Article 13 transparency note.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5 — Discussion</w:t>
      </w:r>
    </w:p>
    <w:p>
      <w:pPr>
        <w:pStyle w:val="Heading2"/>
        <w:spacing w:after="120" w:before="280"/>
      </w:pPr>
      <w:r>
        <w:rPr>
          <w:rFonts w:ascii="Times New Roman" w:cs="Times New Roman" w:eastAsia="Times New Roman" w:hAnsi="Times New Roman"/>
          <w:b/>
          <w:bCs/>
          <w:color w:val="1F3864"/>
          <w:sz w:val="26"/>
          <w:szCs w:val="26"/>
        </w:rPr>
        <w:t xml:space="preserve">5.1 Interpreting Predictive Performance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pPr>
        <w:pStyle w:val="Heading2"/>
        <w:spacing w:after="120" w:before="280"/>
      </w:pPr>
      <w:r>
        <w:rPr>
          <w:rFonts w:ascii="Times New Roman" w:cs="Times New Roman" w:eastAsia="Times New Roman" w:hAnsi="Times New Roman"/>
          <w:b/>
          <w:bCs/>
          <w:color w:val="1F3864"/>
          <w:sz w:val="26"/>
          <w:szCs w:val="26"/>
        </w:rPr>
        <w:t xml:space="preserve">5.2 Interpreting Explanation Stability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Spearman correlation of 0.956 between centralised and federated mean |SHAP| profiles suggests that privacy-preserving training did not arbitrarily reshuffle feature importance. For RQ2 and RQ4, this matters: transparency artefacts remain recognisable across governance modes. Practitioners could, in principle, publish SHAP summaries of a federated model to inform retrofit decisions without implying that underlying microdata were centralised.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divergence in Retail (A1/A2) importance between centralised (9.1) and federated (24.5) models is informative: federated clients weight retail more heavily because London and Birmingham partitions have higher retail concentration than the national pooled dataset would imply. This regional knowledge preservation is a feature of FL, not a failure — it demonstrates that federated models encode local building stock patterns rather than averaging them away.</w:t>
      </w:r>
    </w:p>
    <w:p>
      <w:pPr>
        <w:pStyle w:val="Heading2"/>
        <w:spacing w:after="120" w:before="280"/>
      </w:pPr>
      <w:r>
        <w:rPr>
          <w:rFonts w:ascii="Times New Roman" w:cs="Times New Roman" w:eastAsia="Times New Roman" w:hAnsi="Times New Roman"/>
          <w:b/>
          <w:bCs/>
          <w:color w:val="1F3864"/>
          <w:sz w:val="26"/>
          <w:szCs w:val="26"/>
        </w:rPr>
        <w:t xml:space="preserve">5.3 Data Limitations and Honest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pPr>
        <w:pStyle w:val="Heading2"/>
        <w:spacing w:after="120" w:before="280"/>
      </w:pPr>
      <w:r>
        <w:rPr>
          <w:rFonts w:ascii="Times New Roman" w:cs="Times New Roman" w:eastAsia="Times New Roman" w:hAnsi="Times New Roman"/>
          <w:b/>
          <w:bCs/>
          <w:color w:val="1F3864"/>
          <w:sz w:val="26"/>
          <w:szCs w:val="26"/>
        </w:rPr>
        <w:t xml:space="preserve">5.4 Non-IID Structure and FL Generalisability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pPr>
        <w:pStyle w:val="Heading2"/>
        <w:spacing w:after="120" w:before="280"/>
      </w:pPr>
      <w:r>
        <w:rPr>
          <w:rFonts w:ascii="Times New Roman" w:cs="Times New Roman" w:eastAsia="Times New Roman" w:hAnsi="Times New Roman"/>
          <w:b/>
          <w:bCs/>
          <w:color w:val="1F3864"/>
          <w:sz w:val="26"/>
          <w:szCs w:val="26"/>
        </w:rPr>
        <w:t xml:space="preserve">5.5 Key Feature Findings and Building Physics Alignment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pPr>
        <w:pStyle w:val="Heading2"/>
        <w:spacing w:after="120" w:before="280"/>
      </w:pPr>
      <w:r>
        <w:rPr>
          <w:rFonts w:ascii="Times New Roman" w:cs="Times New Roman" w:eastAsia="Times New Roman" w:hAnsi="Times New Roman"/>
          <w:b/>
          <w:bCs/>
          <w:color w:val="1F3864"/>
          <w:sz w:val="26"/>
          <w:szCs w:val="26"/>
        </w:rPr>
        <w:t xml:space="preserve">5.6 Ethics, Licence, and Responsible Use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4.3), aligned with Article 13 obligations for human oversight (European Parliament, 2024).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pPr>
        <w:pStyle w:val="Heading2"/>
        <w:spacing w:after="120" w:before="280"/>
      </w:pPr>
      <w:r>
        <w:rPr>
          <w:rFonts w:ascii="Times New Roman" w:cs="Times New Roman" w:eastAsia="Times New Roman" w:hAnsi="Times New Roman"/>
          <w:b/>
          <w:bCs/>
          <w:color w:val="1F3864"/>
          <w:sz w:val="26"/>
          <w:szCs w:val="26"/>
        </w:rPr>
        <w:t xml:space="preserve">5.7 Implications for Practice and 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pPr>
        <w:pStyle w:val="Heading2"/>
        <w:spacing w:after="120" w:before="280"/>
      </w:pPr>
      <w:r>
        <w:rPr>
          <w:rFonts w:ascii="Times New Roman" w:cs="Times New Roman" w:eastAsia="Times New Roman" w:hAnsi="Times New Roman"/>
          <w:b/>
          <w:bCs/>
          <w:color w:val="1F3864"/>
          <w:sz w:val="26"/>
          <w:szCs w:val="26"/>
        </w:rPr>
        <w:t xml:space="preserve">5.8 Threats to Validity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pPr>
        <w:pStyle w:val="Heading2"/>
        <w:spacing w:after="120" w:before="280"/>
      </w:pPr>
      <w:r>
        <w:rPr>
          <w:rFonts w:ascii="Times New Roman" w:cs="Times New Roman" w:eastAsia="Times New Roman" w:hAnsi="Times New Roman"/>
          <w:b/>
          <w:bCs/>
          <w:color w:val="1F3864"/>
          <w:sz w:val="26"/>
          <w:szCs w:val="26"/>
        </w:rPr>
        <w:t xml:space="preserve">5.9 Comparison with Expectations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6 — Conclusion and Future Work</w:t>
      </w:r>
    </w:p>
    <w:p>
      <w:pPr>
        <w:pStyle w:val="Heading2"/>
        <w:spacing w:after="120" w:before="280"/>
      </w:pPr>
      <w:r>
        <w:rPr>
          <w:rFonts w:ascii="Times New Roman" w:cs="Times New Roman" w:eastAsia="Times New Roman" w:hAnsi="Times New Roman"/>
          <w:b/>
          <w:bCs/>
          <w:color w:val="1F3864"/>
          <w:sz w:val="26"/>
          <w:szCs w:val="26"/>
        </w:rPr>
        <w:t xml:space="preserve">6.1 Summary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central empirical contribution is dual: federated neural models can track centralised neural performance on UK high-rise EPC data (R² 0.518 vs 0.528), and SHAP feature importance rankings remain highly stable across centralised and federated training regimes (Spearman ρ = 0.956). Together, these results demonstrate that privacy-preserving training and explainable outputs can coexist with competitive predictive performance on UK high-rise EPC analytics, provided researchers remain honest about data limitations and leakage risks.</w:t>
      </w:r>
    </w:p>
    <w:p>
      <w:pPr>
        <w:pStyle w:val="Heading2"/>
        <w:spacing w:after="120" w:before="280"/>
      </w:pPr>
      <w:r>
        <w:rPr>
          <w:rFonts w:ascii="Times New Roman" w:cs="Times New Roman" w:eastAsia="Times New Roman" w:hAnsi="Times New Roman"/>
          <w:b/>
          <w:bCs/>
          <w:color w:val="1F3864"/>
          <w:sz w:val="26"/>
          <w:szCs w:val="26"/>
        </w:rPr>
        <w:t xml:space="preserve">6.2 Answers to Research Questions</w:t>
      </w:r>
    </w:p>
    <w:p>
      <w:pPr>
        <w:spacing w:after="100" w:before="0" w:line="360" w:lineRule="auto"/>
        <w:jc w:val="both"/>
      </w:pPr>
      <w:r>
        <w:rPr>
          <w:rFonts w:ascii="Times New Roman" w:cs="Times New Roman" w:eastAsia="Times New Roman" w:hAnsi="Times New Roman"/>
          <w:b/>
          <w:bCs/>
          <w:caps w:val="false"/>
          <w:color w:val="000000"/>
          <w:sz w:val="24"/>
          <w:szCs w:val="24"/>
        </w:rPr>
        <w:t>RQ1: Federated Averaging produced an MLP with R² ≈ 0.518, closely matching the centralised MLP (0.528) and approaching the best centralised Gradient Boosting (0.559), without pooling raw client CSVs during federated rounds.</w:t>
      </w:r>
      <w:r>
        <w:rPr>
          <w:rFonts w:ascii="Times New Roman" w:cs="Times New Roman" w:eastAsia="Times New Roman" w:hAnsi="Times New Roman"/>
          <w:b w:val="false"/>
          <w:bCs w:val="false"/>
          <w:caps w:val="false"/>
          <w:color w:val="000000"/>
          <w:sz w:val="24"/>
          <w:szCs w:val="24"/>
        </w:rPr>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Global SHAP rankings were highly stable across centralised and federated models (Spearman ρ = 0.956, p &lt; 10⁻⁴⁰).</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Storey count, property-type categories (offices, retail, hotels, storage), and natural gas fuel dominated SHAP attributions consistently across training settings.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Stable federated explanations, delivered through a working Streamlit prototype with EU AI Act Article 13 transparency notes, offer a practical pathway toward transparent energy analytics under data-residency constraints.</w:t>
      </w:r>
    </w:p>
    <w:p>
      <w:pPr>
        <w:pStyle w:val="Heading2"/>
        <w:spacing w:after="120" w:before="280"/>
      </w:pPr>
      <w:r>
        <w:rPr>
          <w:rFonts w:ascii="Times New Roman" w:cs="Times New Roman" w:eastAsia="Times New Roman" w:hAnsi="Times New Roman"/>
          <w:b/>
          <w:bCs/>
          <w:color w:val="1F3864"/>
          <w:sz w:val="26"/>
          <w:szCs w:val="26"/>
        </w:rPr>
        <w:t xml:space="preserve">6.3 Contributions Restated</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Schema-aware, audit-based high-rise EPC filter design including documentation of storey field sparsity in national bulk exports.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Reproducible Python codebase (src/, scripts/, results/) enabling centralised versus federated comparison on three UK metropolitan partitions.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XAI stability evidence: Spearman ρ = 0.956 linking FL and explainability evaluation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Leakage-controlled baseline results, improving upon published work that includes near-tautological emission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Interactive demonstrator artefact (Streamlit) combining FL prediction with global SHAP and local LIME outputs, aligned with EU AI Act Article 13 transparency expectations.</w:t>
      </w:r>
    </w:p>
    <w:p>
      <w:pPr>
        <w:pStyle w:val="Heading2"/>
        <w:spacing w:after="120" w:before="280"/>
      </w:pPr>
      <w:r>
        <w:rPr>
          <w:rFonts w:ascii="Times New Roman" w:cs="Times New Roman" w:eastAsia="Times New Roman" w:hAnsi="Times New Roman"/>
          <w:b/>
          <w:bCs/>
          <w:color w:val="1F3864"/>
          <w:sz w:val="26"/>
          <w:szCs w:val="26"/>
        </w:rPr>
        <w:t xml:space="preserve">6.4 Future Work</w:t>
      </w:r>
    </w:p>
    <w:p>
      <w:pPr>
        <w:spacing w:after="80" w:before="0" w:line="360" w:lineRule="auto"/>
        <w:jc w:val="both"/>
      </w:pPr>
      <w:r>
        <w:rPr>
          <w:rFonts w:ascii="Times New Roman" w:cs="Times New Roman" w:eastAsia="Times New Roman" w:hAnsi="Times New Roman"/>
          <w:b/>
          <w:bCs/>
          <w:caps w:val="false"/>
          <w:color w:val="000000"/>
          <w:sz w:val="24"/>
          <w:szCs w:val="24"/>
        </w:rPr>
        <w:t xml:space="preserve">OS Open UPRN / coordinate join: </w:t>
      </w:r>
      <w:r>
        <w:rPr>
          <w:rFonts w:ascii="Times New Roman" w:cs="Times New Roman" w:eastAsia="Times New Roman" w:hAnsi="Times New Roman"/>
          <w:b w:val="false"/>
          <w:bCs w:val="false"/>
          <w:caps w:val="false"/>
          <w:color w:val="000000"/>
          <w:sz w:val="24"/>
          <w:szCs w:val="24"/>
        </w:rPr>
        <w:t xml:space="preserve">Attaching OSM building:levels data to EPC rows at scale would recover true residential towers and resolve the domestic sparsity limitation.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Stronger non-IID and more clients: </w:t>
      </w:r>
      <w:r>
        <w:rPr>
          <w:rFonts w:ascii="Times New Roman" w:cs="Times New Roman" w:eastAsia="Times New Roman" w:hAnsi="Times New Roman"/>
          <w:b w:val="false"/>
          <w:bCs w:val="false"/>
          <w:caps w:val="false"/>
          <w:color w:val="000000"/>
          <w:sz w:val="24"/>
          <w:szCs w:val="24"/>
        </w:rPr>
        <w:t xml:space="preserve">Testing with five or more clients, greater label skew, and full Flower server deployment would stress-test FL robustness more rigorously.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Differential privacy and secure aggregation: </w:t>
      </w:r>
      <w:r>
        <w:rPr>
          <w:rFonts w:ascii="Times New Roman" w:cs="Times New Roman" w:eastAsia="Times New Roman" w:hAnsi="Times New Roman"/>
          <w:b w:val="false"/>
          <w:bCs w:val="false"/>
          <w:caps w:val="false"/>
          <w:color w:val="000000"/>
          <w:sz w:val="24"/>
          <w:szCs w:val="24"/>
        </w:rPr>
        <w:t xml:space="preserve">Adding DP-SGD noise and cryptographic update aggregation would harden the privacy claim from organisational residency to cryptographic protection.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TreeExplainer and grouped SHAP: </w:t>
      </w:r>
      <w:r>
        <w:rPr>
          <w:rFonts w:ascii="Times New Roman" w:cs="Times New Roman" w:eastAsia="Times New Roman" w:hAnsi="Times New Roman"/>
          <w:b w:val="false"/>
          <w:bCs w:val="false"/>
          <w:caps w:val="false"/>
          <w:color w:val="000000"/>
          <w:sz w:val="24"/>
          <w:szCs w:val="24"/>
        </w:rPr>
        <w:t xml:space="preserve">Applying TreeExplainer to gradient boosting (rather than KernelExplainer) and aggregating SHAP by semantic feature groups would improve explanation fidelity.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Cross-country EPC datasets: </w:t>
      </w:r>
      <w:r>
        <w:rPr>
          <w:rFonts w:ascii="Times New Roman" w:cs="Times New Roman" w:eastAsia="Times New Roman" w:hAnsi="Times New Roman"/>
          <w:b w:val="false"/>
          <w:bCs w:val="false"/>
          <w:caps w:val="false"/>
          <w:color w:val="000000"/>
          <w:sz w:val="24"/>
          <w:szCs w:val="24"/>
        </w:rPr>
        <w:t xml:space="preserve">Extending the framework to EU EPC datasets from France, Germany, and the Netherlands would test the generalisability of PP-XAI beyond the England and Wales context.</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Multi-modal feature enrichment: </w:t>
      </w:r>
      <w:r>
        <w:rPr>
          <w:rFonts w:ascii="Times New Roman" w:cs="Times New Roman" w:eastAsia="Times New Roman" w:hAnsi="Times New Roman"/>
          <w:b w:val="false"/>
          <w:bCs w:val="false"/>
          <w:caps w:val="false"/>
          <w:color w:val="000000"/>
          <w:sz w:val="24"/>
          <w:szCs w:val="24"/>
        </w:rPr>
        <w:t xml:space="preserve">Incorporating smart meter data, weather normalisation, and building footprint geometry would likely improve R² substantially whilst retaining the FL privacy architecture.</w:t>
      </w:r>
    </w:p>
    <w:p>
      <w:pPr>
        <w:pStyle w:val="Heading2"/>
        <w:spacing w:after="120" w:before="280"/>
      </w:pPr>
      <w:r>
        <w:rPr>
          <w:rFonts w:ascii="Times New Roman" w:cs="Times New Roman" w:eastAsia="Times New Roman" w:hAnsi="Times New Roman"/>
          <w:b/>
          <w:bCs/>
          <w:color w:val="1F3864"/>
          <w:sz w:val="26"/>
          <w:szCs w:val="26"/>
        </w:rPr>
        <w:t xml:space="preserve">6.5 Closing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transparency can coexist, and this project demonstrates both within a reproducible, evaluable MSc dissertation pipeline.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References</w:t>
      </w: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Amasyali, K. and El-Gohary, N.M. (2018) 'A review of data-driven building energy consumption prediction studies', Renewable and Sustainable Energy Reviews, 81, pp. 1192–1205.</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Beutel, D.J., Topal, T., Mathur, A., Qiu, X., Fernandez-Marques, J., Gao, Y., Sani, L., Li, K., Parcollet, T., de Gusmão, P.P.B. and Lane, N.D. (2020) 'Flower: A Friendly Federated Learning Research Framework', arXiv preprint arXiv:2007.14390.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Chen, Z., Xiao, F., Guo, F. and Yan, J. (2023) 'Interpretable machine learning for building energy management: A state-of-the-art review', Energy and Buildings, 292, article 113163.</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Doshi-Velez, F. and Kim, B. (2017) 'Towards a rigorous science of interpretable machine learning', arXiv preprint arXiv:1702.08608.</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Commission (2024) Directive (EU) 2024/1275 on the Energy Performance of Buildings (EPBD Recast).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Parliament (2024) Regulation (EU) 2024/1689 Laying Down Harmonised Rules on Artificial Intelligence (Artificial Intelligence Act).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Li, T., Sahu, A.K., Zaheer, M., Sanjabi, M., Talwalkar, A. and Smith, V. (2020) 'Federated optimization in heterogeneous networks', Proceedings of Machine Learning and Systems, 2, pp. 429–450.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Lundberg, S.M. and Lee, S.-I. (2017) 'A unified approach to interpreting model predictions', Advances in Neural Information Processing Systems, 30.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McMahan, H.B., Moore, E., Ramage, D., Hampson, S. and Agüera y Arcas, B. (2017) 'Communication-efficient learning of deep networks from decentralized data', Proceedings of the 20th International Conference on Artificial Intelligence and Statistics (AISTATS), pp. 1273–1282.</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Ministry of Housing, Communities and Local Government (2024) Energy Performance of Buildings Data: England and Wales. Open Government Licence v3.0. Available at: https://get-energy-performance-data.communities.gov.uk/ (Accessed: July 2026).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Molnar, C. (2022) Interpretable Machine Learning: A Guide for Making Black Box Models Explainable. 2nd edn. Munich: Leanpub.</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Ribeiro, M.T., Singh, S. and Guestrin, C. (2016) '"Why should I trust you?" Explaining the predictions of any classifier', Proceedings of the 22nd ACM SIGKDD International Conference on Knowledge Discovery and Data Mining, pp. 1135–1144.</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Slack, D., Hilgard, S., Jia, E., Singh, S. and Lakkaraju, H. (2020) 'Fooling LIME and SHAP: Adversarial attacks on post hoc explanation methods', Proceedings of the AAAI/ACM Conference on AI, Ethics, and Society (AIES), pp. 180–186.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Wei, Y., Xia, L., Pan, M., Wu, J., Zhang, X., Han, M., Zhang, W., Xie, J. and Li, Q. (2018) 'A review of data-driven approaches for prediction and classification of building energy consumption', Renewable and Sustainable Energy Reviews, 82, pp. 1027–1047.</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Zhou, G., Moayedi, H., Bahiraei, M. and Lyu, Z. (2020) 'Employing artificial bee colony and particle swarm techniques for optimizing a neural network in prediction of heating and cooling loads of residential buildings', Journal of Cleaner Production, 254, article 120082.</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A — Reproducibility and Environment Notes</w:t>
      </w:r>
    </w:p>
    <w:p>
      <w:pPr>
        <w:pStyle w:val="Heading2"/>
        <w:spacing w:after="120" w:before="280"/>
      </w:pPr>
      <w:r>
        <w:rPr>
          <w:rFonts w:ascii="Times New Roman" w:cs="Times New Roman" w:eastAsia="Times New Roman" w:hAnsi="Times New Roman"/>
          <w:b/>
          <w:bCs/>
          <w:color w:val="1F3864"/>
          <w:sz w:val="26"/>
          <w:szCs w:val="26"/>
        </w:rPr>
        <w:t xml:space="preserve">A.1 Repository Layout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project codebase is organised as follows: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Building-Energy-Prediction/
├──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pPr>
        <w:pStyle w:val="Heading2"/>
        <w:spacing w:after="120" w:before="280"/>
      </w:pPr>
      <w:r>
        <w:rPr>
          <w:rFonts w:ascii="Times New Roman" w:cs="Times New Roman" w:eastAsia="Times New Roman" w:hAnsi="Times New Roman"/>
          <w:b/>
          <w:bCs/>
          <w:color w:val="1F3864"/>
          <w:sz w:val="26"/>
          <w:szCs w:val="26"/>
        </w:rPr>
        <w:t xml:space="preserve">A.2 Launch Commands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 Full pipeline:
arch -arm64 /bin/zsh -c 'source scripts/env.sh &amp;&amp; /bin/bash scripts/run_all.sh'
# Web application:
arch -arm64 /bin/zsh -c 'source scripts/env.sh &amp;&amp; streamlit run src/webapp/app.py'</w:t>
      </w:r>
    </w:p>
    <w:p>
      <w:pPr>
        <w:pStyle w:val="Heading2"/>
        <w:spacing w:after="120" w:before="280"/>
      </w:pPr>
      <w:r>
        <w:rPr>
          <w:rFonts w:ascii="Times New Roman" w:cs="Times New Roman" w:eastAsia="Times New Roman" w:hAnsi="Times New Roman"/>
          <w:b/>
          <w:bCs/>
          <w:color w:val="1F3864"/>
          <w:sz w:val="26"/>
          <w:szCs w:val="26"/>
        </w:rPr>
        <w:t xml:space="preserve">A.3 Known Pitfalls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/usr/local/bin/bash is x86 Homebrew — do not arch -arm64 bash.</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Setting DYLD_LIBRARY_PATH to .deps/libomp breaks NumPy.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LightGBM may hang without OMP_NUM_THREADS=1 / n_jobs=1 on macOS.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Conda (base) + Rosetta can force x86 Python against arm64 wheels.</w:t>
      </w:r>
    </w:p>
    <w:p>
      <w:pPr>
        <w:spacing w:after="80" w:before="0"/>
      </w:pPr>
    </w:p>
    <w:p>
      <w:pPr>
        <w:pStyle w:val="Heading2"/>
        <w:spacing w:after="120" w:before="280"/>
      </w:pPr>
      <w:r>
        <w:rPr>
          <w:rFonts w:ascii="Times New Roman" w:cs="Times New Roman" w:eastAsia="Times New Roman" w:hAnsi="Times New Roman"/>
          <w:b/>
          <w:bCs/>
          <w:color w:val="1F3864"/>
          <w:sz w:val="26"/>
          <w:szCs w:val="26"/>
        </w:rPr>
        <w:t xml:space="preserve">A.4 Objective-to-Artefact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Objective</w:t>
            </w:r>
          </w:p>
        </w:tc>
        <w:tc>
          <w:tcPr>
            <w:tcW w:type="dxa" w:w="6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Key Artefacts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O1 Baselines</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results/tables/baseline_metrics.json, model joblibs in results/models/centralised/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O2 FL</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results/tables/federated_metrics.json, results/models/federated/federated_mlp.pt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O3 XAI</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results/figures/shap_importance_*.png/.csv, results/figures/lime_*.png</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O4 Comparison</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results/tables/model_comparison.csv, statistical_tests.json, xai_stability.json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O5 Prototype</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src/webapp/app.py, verified at localhost:8501 on 18 July 2026</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B — Extended Results Narrative</w:t>
      </w:r>
    </w:p>
    <w:p>
      <w:pPr>
        <w:pStyle w:val="Heading2"/>
        <w:spacing w:after="120" w:before="280"/>
      </w:pPr>
      <w:r>
        <w:rPr>
          <w:rFonts w:ascii="Times New Roman" w:cs="Times New Roman" w:eastAsia="Times New Roman" w:hAnsi="Times New Roman"/>
          <w:b/>
          <w:bCs/>
          <w:color w:val="1F3864"/>
          <w:sz w:val="26"/>
          <w:szCs w:val="26"/>
        </w:rPr>
        <w:t xml:space="preserve">B.1 Why Sparsity is Informative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pPr>
        <w:pStyle w:val="Heading2"/>
        <w:spacing w:after="120" w:before="280"/>
      </w:pPr>
      <w:r>
        <w:rPr>
          <w:rFonts w:ascii="Times New Roman" w:cs="Times New Roman" w:eastAsia="Times New Roman" w:hAnsi="Times New Roman"/>
          <w:b/>
          <w:bCs/>
          <w:color w:val="1F3864"/>
          <w:sz w:val="26"/>
          <w:szCs w:val="26"/>
        </w:rPr>
        <w:t xml:space="preserve">B.2 Federated Round Dynamics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pPr>
        <w:pStyle w:val="Heading2"/>
        <w:spacing w:after="120" w:before="280"/>
      </w:pPr>
      <w:r>
        <w:rPr>
          <w:rFonts w:ascii="Times New Roman" w:cs="Times New Roman" w:eastAsia="Times New Roman" w:hAnsi="Times New Roman"/>
          <w:b/>
          <w:bCs/>
          <w:color w:val="1F3864"/>
          <w:sz w:val="26"/>
          <w:szCs w:val="26"/>
        </w:rPr>
        <w:t xml:space="preserve">B.3 Practical vs Statistical Significance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pPr>
        <w:pStyle w:val="Heading2"/>
        <w:spacing w:after="120" w:before="280"/>
      </w:pPr>
      <w:r>
        <w:rPr>
          <w:rFonts w:ascii="Times New Roman" w:cs="Times New Roman" w:eastAsia="Times New Roman" w:hAnsi="Times New Roman"/>
          <w:b/>
          <w:bCs/>
          <w:color w:val="1F3864"/>
          <w:sz w:val="26"/>
          <w:szCs w:val="26"/>
        </w:rPr>
        <w:t xml:space="preserve">B.4 Figure Reference Guide</w:t>
      </w:r>
    </w:p>
    <w:p>
      <w:pPr>
        <w:pStyle w:val="Normal"/>
      </w:pPr>
      <w:r>
        <w:rPr>
          <w:rFonts w:ascii="Times New Roman" w:hAnsi="Times New Roman" w:eastAsia="Times New Roman"/>
          <w:b w:val="0"/>
          <w:i w:val="0"/>
          <w:sz w:val="22"/>
        </w:rPr>
        <w:t>Figure 4.1 eda_target_hist.png — target distribution is right-skewed; justify clipping.</w:t>
      </w:r>
    </w:p>
    <w:p>
      <w:pPr>
        <w:pStyle w:val="Normal"/>
      </w:pPr>
      <w:r>
        <w:rPr>
          <w:rFonts w:ascii="Times New Roman" w:hAnsi="Times New Roman" w:eastAsia="Times New Roman"/>
          <w:b w:val="0"/>
          <w:i w:val="0"/>
          <w:sz w:val="22"/>
        </w:rPr>
        <w:t>Figure 4.2 eda_city_counts.png — London dominates sample size.</w:t>
      </w:r>
    </w:p>
    <w:p>
      <w:pPr>
        <w:pStyle w:val="Normal"/>
      </w:pPr>
      <w:r>
        <w:rPr>
          <w:rFonts w:ascii="Times New Roman" w:hAnsi="Times New Roman" w:eastAsia="Times New Roman"/>
          <w:b w:val="0"/>
          <w:i w:val="0"/>
          <w:sz w:val="22"/>
        </w:rPr>
        <w:t>Figure 4.3 eda_energy_by_city.png — means similar → mild non-IID.</w:t>
      </w:r>
    </w:p>
    <w:p>
      <w:pPr>
        <w:pStyle w:val="Normal"/>
      </w:pPr>
      <w:r>
        <w:rPr>
          <w:rFonts w:ascii="Times New Roman" w:hAnsi="Times New Roman" w:eastAsia="Times New Roman"/>
          <w:b w:val="0"/>
          <w:i w:val="0"/>
          <w:sz w:val="22"/>
        </w:rPr>
        <w:t>Figure 4.4 eda_area_vs_energy.png — cross-sectional area–energy scatter.</w:t>
      </w:r>
    </w:p>
    <w:p>
      <w:pPr>
        <w:pStyle w:val="Normal"/>
      </w:pPr>
      <w:r>
        <w:rPr>
          <w:rFonts w:ascii="Times New Roman" w:hAnsi="Times New Roman" w:eastAsia="Times New Roman"/>
          <w:b w:val="0"/>
          <w:i w:val="0"/>
          <w:sz w:val="22"/>
        </w:rPr>
        <w:t>Figure 4.5 baseline_rmse.png — Gradient Boosting wins among central models.</w:t>
      </w:r>
    </w:p>
    <w:p>
      <w:pPr>
        <w:pStyle w:val="Normal"/>
      </w:pPr>
      <w:r>
        <w:rPr>
          <w:rFonts w:ascii="Times New Roman" w:hAnsi="Times New Roman" w:eastAsia="Times New Roman"/>
          <w:b w:val="0"/>
          <w:i w:val="0"/>
          <w:sz w:val="22"/>
        </w:rPr>
        <w:t>Figure 4.6 baseline_r2.png — moderate absolute R² for EPC intensity.</w:t>
      </w:r>
    </w:p>
    <w:p>
      <w:pPr>
        <w:pStyle w:val="Normal"/>
      </w:pPr>
      <w:r>
        <w:rPr>
          <w:rFonts w:ascii="Times New Roman" w:hAnsi="Times New Roman" w:eastAsia="Times New Roman"/>
          <w:b w:val="0"/>
          <w:i w:val="0"/>
          <w:sz w:val="22"/>
        </w:rPr>
        <w:t>Figure 4.7 pred_vs_actual_gradient_boosting.png — errors grow with magnitude.</w:t>
      </w:r>
    </w:p>
    <w:p>
      <w:r>
        <w:rPr>
          <w:rFonts w:ascii="Times New Roman" w:hAnsi="Times New Roman"/>
          <w:sz w:val="22"/>
        </w:rPr>
        <w:t>Figure 4.7b pred_vs_actual_mlp.png — central MLP residuals on held-out test set.</w:t>
      </w:r>
    </w:p>
    <w:p>
      <w:pPr>
        <w:pStyle w:val="Normal"/>
      </w:pPr>
      <w:r>
        <w:rPr>
          <w:rFonts w:ascii="Times New Roman" w:hAnsi="Times New Roman" w:eastAsia="Times New Roman"/>
          <w:b w:val="0"/>
          <w:i w:val="0"/>
          <w:sz w:val="22"/>
        </w:rPr>
        <w:t>Figure 4.8 federated_convergence.png — FL learns across rounds.</w:t>
      </w:r>
    </w:p>
    <w:p>
      <w:pPr>
        <w:pStyle w:val="Normal"/>
      </w:pPr>
      <w:r>
        <w:rPr>
          <w:rFonts w:ascii="Times New Roman" w:hAnsi="Times New Roman" w:eastAsia="Times New Roman"/>
          <w:b w:val="0"/>
          <w:i w:val="0"/>
          <w:sz w:val="22"/>
        </w:rPr>
        <w:t>Figure 4.9 pred_vs_actual_federated.png — federated residuals vs actual.</w:t>
      </w:r>
    </w:p>
    <w:p>
      <w:pPr>
        <w:pStyle w:val="Normal"/>
      </w:pPr>
      <w:r>
        <w:rPr>
          <w:rFonts w:ascii="Times New Roman" w:hAnsi="Times New Roman" w:eastAsia="Times New Roman"/>
          <w:b w:val="0"/>
          <w:i w:val="0"/>
          <w:sz w:val="22"/>
        </w:rPr>
        <w:t>Figure 4.10 shap_comparison.png — central vs federated SHAP agreement.</w:t>
      </w:r>
    </w:p>
    <w:p>
      <w:pPr>
        <w:pStyle w:val="Normal"/>
      </w:pPr>
      <w:r>
        <w:rPr>
          <w:rFonts w:ascii="Times New Roman" w:hAnsi="Times New Roman" w:eastAsia="Times New Roman"/>
          <w:b w:val="0"/>
          <w:i w:val="0"/>
          <w:sz w:val="22"/>
        </w:rPr>
        <w:t>Figure 4.11 fig3_shap_summary_federated.png — federated SHAP summary.</w:t>
      </w:r>
    </w:p>
    <w:p>
      <w:pPr>
        <w:pStyle w:val="Normal"/>
      </w:pPr>
      <w:r>
        <w:rPr>
          <w:rFonts w:ascii="Times New Roman" w:hAnsi="Times New Roman" w:eastAsia="Times New Roman"/>
          <w:b w:val="0"/>
          <w:i w:val="0"/>
          <w:sz w:val="22"/>
        </w:rPr>
        <w:t>Figure 4.12 Streamlit prototype screenshot — interactive PP-XAI demo.</w:t>
      </w:r>
    </w:p>
    <w:p>
      <w:r>
        <w:rPr>
          <w:rFonts w:ascii="Times New Roman" w:hAnsi="Times New Roman"/>
          <w:sz w:val="22"/>
        </w:rPr>
        <w:t>Figure 4.13 federated_convergence_20rounds.png — FedAvg vs FedProx to 20 rounds with central baselines.</w:t>
      </w:r>
    </w:p>
    <w:p>
      <w:r>
        <w:rPr>
          <w:rFonts w:ascii="Times New Roman" w:hAnsi="Times New Roman"/>
          <w:sz w:val="22"/>
        </w:rPr>
        <w:t>Figure 4.14 per_client_shap_comparison.png — H3 per-client SHAP / Jaccard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Figure File</w:t>
            </w:r>
          </w:p>
        </w:tc>
        <w:tc>
          <w:tcPr>
            <w:tcW w:type="dxa" w:w="5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Description for Viva</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eda_target_hist.png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Target distribution is right-skewed; justifies 1st–99th percentile clipping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eda_city_counts.png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 dominates sample size — sample-size non-IID</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federated_convergence.png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learns across rounds; convergence by round 5–6</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shap_comparison.png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vs federated SHAP — high visual agreement (Figure 4.1)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pred_vs_actual_*.png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Errors grow with magnitude; heteroscedastic energy data</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C — Ethics, Licence, and Policy Notes</w:t>
      </w:r>
    </w:p>
    <w:p>
      <w:pPr>
        <w:pStyle w:val="Heading2"/>
        <w:spacing w:after="120" w:before="280"/>
      </w:pPr>
      <w:r>
        <w:rPr>
          <w:rFonts w:ascii="Times New Roman" w:cs="Times New Roman" w:eastAsia="Times New Roman" w:hAnsi="Times New Roman"/>
          <w:b/>
          <w:bCs/>
          <w:color w:val="1F3864"/>
          <w:sz w:val="26"/>
          <w:szCs w:val="26"/>
        </w:rPr>
        <w:t xml:space="preserve">C.1 Ethics Review Stance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pPr>
        <w:pStyle w:val="Heading2"/>
        <w:spacing w:after="120" w:before="280"/>
      </w:pPr>
      <w:r>
        <w:rPr>
          <w:rFonts w:ascii="Times New Roman" w:cs="Times New Roman" w:eastAsia="Times New Roman" w:hAnsi="Times New Roman"/>
          <w:b/>
          <w:bCs/>
          <w:color w:val="1F3864"/>
          <w:sz w:val="26"/>
          <w:szCs w:val="26"/>
        </w:rPr>
        <w:t xml:space="preserve">C.2 Open Government Licence Obligations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pPr>
        <w:pStyle w:val="Heading2"/>
        <w:spacing w:after="120" w:before="280"/>
      </w:pPr>
      <w:r>
        <w:rPr>
          <w:rFonts w:ascii="Times New Roman" w:cs="Times New Roman" w:eastAsia="Times New Roman" w:hAnsi="Times New Roman"/>
          <w:b/>
          <w:bCs/>
          <w:color w:val="1F3864"/>
          <w:sz w:val="26"/>
          <w:szCs w:val="26"/>
        </w:rPr>
        <w:t xml:space="preserve">C.3 Privacy Considerations Beyond GDPR Slogans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pPr>
        <w:pStyle w:val="Heading2"/>
        <w:spacing w:after="120" w:before="280"/>
      </w:pPr>
      <w:r>
        <w:rPr>
          <w:rFonts w:ascii="Times New Roman" w:cs="Times New Roman" w:eastAsia="Times New Roman" w:hAnsi="Times New Roman"/>
          <w:b/>
          <w:bCs/>
          <w:color w:val="1F3864"/>
          <w:sz w:val="26"/>
          <w:szCs w:val="26"/>
        </w:rPr>
        <w:t xml:space="preserve">C.4 Scope of the Privacy Claim</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pPr>
        <w:pStyle w:val="Heading2"/>
        <w:spacing w:after="120" w:before="280"/>
      </w:pPr>
      <w:r>
        <w:rPr>
          <w:rFonts w:ascii="Times New Roman" w:cs="Times New Roman" w:eastAsia="Times New Roman" w:hAnsi="Times New Roman"/>
          <w:b/>
          <w:bCs/>
          <w:color w:val="1F3864"/>
          <w:sz w:val="26"/>
          <w:szCs w:val="26"/>
        </w:rPr>
        <w:t xml:space="preserve">C.5 Policy Vignette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exchanging property-level CSV extracts. This vignette encapsulates the intended socio-technical contribution of PP-XAI, independent of any single R² figure.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D — Glossary and Abbreviations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Term</w:t>
            </w:r>
          </w:p>
        </w:tc>
        <w:tc>
          <w:tcPr>
            <w:tcW w:type="dxa" w:w="73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Definition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EPC</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Certificate — UK regulatory document assessing building energy efficiency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FL / FedAvg</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 Learning / Federated Averaging — training ML models without pooling raw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SHAP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SHapley Additive exPlanations — feature attribution based on cooperative game theory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LIME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Local Interpretable Model-agnostic Explanations — local surrogate model for instance explanations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PP-XAI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Privacy-Preserving Explainable AI — this dissertation's integrated framework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R²</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Coefficient of determination — fraction of target variance explained (1.0 = perfect)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RMSE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Root Mean Square Error — square root of mean squared prediction error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Error — average absolute prediction error in original units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MAPE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Percentage Error — relative prediction error (%)</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non-IID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Non-Identically Independently Distributed — client datasets with differing distributions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OGL</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 Government Licence v3.0 — licence for UK EPC open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UPRN</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Unique Property Reference Number — stable UK property identifier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OSM</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OpenStreetMap — open crowd-sourced map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MEES</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Minimum Energy Efficiency Standards — UK private rented sector EPC requirements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EU AI Act</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European Parliament Regulation (EU) 2024/1689 on 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EPBD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of Buildings Directive (EU recast 2024)</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Explainable Artificial Intelligence — methods making ML model decisions interpretable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MLP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Multilayer Perceptron — feed-forward neural network used as federated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RF</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 — ensemble of decision trees with bagging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KernelExplainer</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 model-agnostic approximation via Kernel SHAP sampling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caps w:val="false"/>
        <w:color w:val="000000"/>
        <w:sz w:val="18"/>
        <w:szCs w:val="18"/>
      </w:rPr>
      <w:t xml:space="preserve">Student: 202440724 | MSc Applied Artificial Intelligence | University of Hull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360" w:lineRule="auto"/>
      <w:jc w:val="both"/>
    </w:pPr>
    <w:rPr>
      <w:rFonts w:ascii="Times New Roman" w:cs="Times New Roman" w:eastAsia="Times New Roman" w:hAnsi="Times New Roman"/>
      <w:sz w:val="24"/>
      <w:szCs w:val="24"/>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b3ee9dc3fb61ab2ad3d92a5a5426acec09aedf.png"/><Relationship Id="rId9" Type="http://schemas.openxmlformats.org/officeDocument/2006/relationships/image" Target="media/9f0fc6bfab1b1bcda4a990c51d20a9f3e1ee7ec0.png"/><Relationship Id="rId10" Type="http://schemas.openxmlformats.org/officeDocument/2006/relationships/image" Target="media/61d9a61f83a1027f1359d6eac8da6573f9f15c64.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pred_vs_actual_mlp.png"/><Relationship Id="rId22" Type="http://schemas.openxmlformats.org/officeDocument/2006/relationships/image" Target="media/image10.png"/><Relationship Id="rId23"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2026-07-21T09:11:43.960Z</dcterms:created>
  <dcterms:modified xsi:type="dcterms:W3CDTF">2026-07-21T09:11:43.971Z</dcterms:modified>
</cp:coreProperties>
</file>

<file path=docProps/custom.xml><?xml version="1.0" encoding="utf-8"?>
<Properties xmlns="http://schemas.openxmlformats.org/officeDocument/2006/custom-properties" xmlns:vt="http://schemas.openxmlformats.org/officeDocument/2006/docPropsVTypes"/>
</file>