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p>
    <w:p>
      <w:pPr>
        <w:spacing w:after="120" w:before="0"/>
        <w:jc w:val="center"/>
      </w:pPr>
      <w:r>
        <w:rPr>
          <w:rFonts w:ascii="Times New Roman" w:cs="Times New Roman" w:eastAsia="Times New Roman" w:hAnsi="Times New Roman"/>
          <w:b/>
          <w:bCs/>
          <w:caps/>
          <w:color w:val="1F3864"/>
          <w:sz w:val="26"/>
          <w:szCs w:val="26"/>
        </w:rPr>
        <w:t xml:space="preserve">UNIVERSITY OF HULL</w:t>
      </w:r>
    </w:p>
    <w:p>
      <w:pPr>
        <w:spacing w:after="80" w:before="0"/>
        <w:jc w:val="center"/>
      </w:pPr>
      <w:r>
        <w:rPr>
          <w:rFonts w:ascii="Times New Roman" w:cs="Times New Roman" w:eastAsia="Times New Roman" w:hAnsi="Times New Roman"/>
          <w:b w:val="false"/>
          <w:bCs w:val="false"/>
          <w:caps w:val="false"/>
          <w:color w:val="000000"/>
          <w:sz w:val="24"/>
          <w:szCs w:val="24"/>
        </w:rPr>
        <w:t xml:space="preserve">School of Computer Science</w:t>
      </w:r>
    </w:p>
    <w:p>
      <w:pPr>
        <w:spacing w:after="400" w:before="0"/>
      </w:pPr>
    </w:p>
    <w:p>
      <w:pPr>
        <w:spacing w:after="120" w:before="0"/>
        <w:jc w:val="center"/>
      </w:pPr>
      <w:r>
        <w:rPr>
          <w:rFonts w:ascii="Times New Roman" w:cs="Times New Roman" w:eastAsia="Times New Roman" w:hAnsi="Times New Roman"/>
          <w:b/>
          <w:bCs/>
          <w:caps w:val="false"/>
          <w:color w:val="1F3864"/>
          <w:sz w:val="36"/>
          <w:szCs w:val="36"/>
        </w:rPr>
        <w:t xml:space="preserve">Privacy-Preserving Explainable AI for Building Energy</w:t>
      </w:r>
    </w:p>
    <w:p>
      <w:pPr>
        <w:spacing w:after="120" w:before="0"/>
        <w:jc w:val="center"/>
      </w:pPr>
      <w:r>
        <w:rPr>
          <w:rFonts w:ascii="Times New Roman" w:cs="Times New Roman" w:eastAsia="Times New Roman" w:hAnsi="Times New Roman"/>
          <w:b/>
          <w:bCs/>
          <w:caps w:val="false"/>
          <w:color w:val="1F3864"/>
          <w:sz w:val="36"/>
          <w:szCs w:val="36"/>
        </w:rPr>
        <w:t xml:space="preserve">Performance Prediction: A Federated Learning Approach</w:t>
      </w:r>
    </w:p>
    <w:p>
      <w:pPr>
        <w:spacing w:after="400" w:before="0"/>
        <w:jc w:val="center"/>
      </w:pPr>
      <w:r>
        <w:rPr>
          <w:rFonts w:ascii="Times New Roman" w:cs="Times New Roman" w:eastAsia="Times New Roman" w:hAnsi="Times New Roman"/>
          <w:b/>
          <w:bCs/>
          <w:caps w:val="false"/>
          <w:color w:val="1F3864"/>
          <w:sz w:val="36"/>
          <w:szCs w:val="36"/>
        </w:rPr>
        <w:t xml:space="preserve">with SHAP and LIME Integration for High-Rise Structures</w:t>
      </w:r>
    </w:p>
    <w:p>
      <w:pPr>
        <w:spacing w:after="80" w:before="0"/>
        <w:jc w:val="center"/>
      </w:pPr>
      <w:r>
        <w:rPr>
          <w:rFonts w:ascii="Times New Roman" w:cs="Times New Roman" w:eastAsia="Times New Roman" w:hAnsi="Times New Roman"/>
          <w:b w:val="false"/>
          <w:bCs w:val="false"/>
          <w:caps w:val="false"/>
          <w:color w:val="000000"/>
          <w:sz w:val="28"/>
          <w:szCs w:val="28"/>
        </w:rPr>
        <w:t xml:space="preserve">PP-XAI Dissertation</w:t>
      </w:r>
    </w:p>
    <w:p>
      <w:pPr>
        <w:spacing w:after="400" w:before="0"/>
      </w:pPr>
    </w:p>
    <w:p>
      <w:pPr>
        <w:spacing w:after="80" w:before="0"/>
        <w:jc w:val="center"/>
      </w:pPr>
      <w:r>
        <w:rPr>
          <w:rFonts w:ascii="Times New Roman" w:cs="Times New Roman" w:eastAsia="Times New Roman" w:hAnsi="Times New Roman"/>
          <w:b/>
          <w:bCs/>
          <w:caps w:val="false"/>
          <w:color w:val="000000"/>
          <w:sz w:val="24"/>
          <w:szCs w:val="24"/>
        </w:rPr>
        <w:t xml:space="preserve">Submitted by: </w:t>
      </w:r>
      <w:r>
        <w:rPr>
          <w:rFonts w:ascii="Times New Roman" w:cs="Times New Roman" w:eastAsia="Times New Roman" w:hAnsi="Times New Roman"/>
          <w:b w:val="false"/>
          <w:bCs w:val="false"/>
          <w:caps w:val="false"/>
          <w:color w:val="000000"/>
          <w:sz w:val="24"/>
          <w:szCs w:val="24"/>
        </w:rPr>
        <w:t xml:space="preserve">Syed Ali Raza</w:t>
      </w:r>
    </w:p>
    <w:p>
      <w:pPr>
        <w:spacing w:after="80" w:before="0"/>
        <w:jc w:val="center"/>
      </w:pPr>
      <w:r>
        <w:rPr>
          <w:rFonts w:ascii="Times New Roman" w:cs="Times New Roman" w:eastAsia="Times New Roman" w:hAnsi="Times New Roman"/>
          <w:b/>
          <w:bCs/>
          <w:caps w:val="false"/>
          <w:color w:val="000000"/>
          <w:sz w:val="24"/>
          <w:szCs w:val="24"/>
        </w:rPr>
        <w:t xml:space="preserve">Student Number: </w:t>
      </w:r>
      <w:r>
        <w:rPr>
          <w:rFonts w:ascii="Times New Roman" w:cs="Times New Roman" w:eastAsia="Times New Roman" w:hAnsi="Times New Roman"/>
          <w:b w:val="false"/>
          <w:bCs w:val="false"/>
          <w:caps w:val="false"/>
          <w:color w:val="000000"/>
          <w:sz w:val="24"/>
          <w:szCs w:val="24"/>
        </w:rPr>
        <w:t xml:space="preserve">202440724</w:t>
      </w:r>
    </w:p>
    <w:p>
      <w:pPr>
        <w:spacing w:after="80" w:before="0"/>
        <w:jc w:val="center"/>
      </w:pPr>
      <w:r>
        <w:rPr>
          <w:rFonts w:ascii="Times New Roman" w:cs="Times New Roman" w:eastAsia="Times New Roman" w:hAnsi="Times New Roman"/>
          <w:b/>
          <w:bCs/>
          <w:caps w:val="false"/>
          <w:color w:val="000000"/>
          <w:sz w:val="24"/>
          <w:szCs w:val="24"/>
        </w:rPr>
        <w:t xml:space="preserve">Programme: </w:t>
      </w:r>
      <w:r>
        <w:rPr>
          <w:rFonts w:ascii="Times New Roman" w:cs="Times New Roman" w:eastAsia="Times New Roman" w:hAnsi="Times New Roman"/>
          <w:b w:val="false"/>
          <w:bCs w:val="false"/>
          <w:caps w:val="false"/>
          <w:color w:val="000000"/>
          <w:sz w:val="24"/>
          <w:szCs w:val="24"/>
        </w:rPr>
        <w:t xml:space="preserve">MSc Applied Artificial Intelligence</w:t>
      </w:r>
    </w:p>
    <w:p>
      <w:pPr>
        <w:spacing w:after="80" w:before="0"/>
        <w:jc w:val="center"/>
      </w:pPr>
      <w:r>
        <w:rPr>
          <w:rFonts w:ascii="Times New Roman" w:cs="Times New Roman" w:eastAsia="Times New Roman" w:hAnsi="Times New Roman"/>
          <w:b/>
          <w:bCs/>
          <w:caps w:val="false"/>
          <w:color w:val="000000"/>
          <w:sz w:val="24"/>
          <w:szCs w:val="24"/>
        </w:rPr>
        <w:t xml:space="preserve">Supervisor: </w:t>
      </w:r>
      <w:r>
        <w:rPr>
          <w:rFonts w:ascii="Times New Roman" w:cs="Times New Roman" w:eastAsia="Times New Roman" w:hAnsi="Times New Roman"/>
          <w:b w:val="false"/>
          <w:bCs w:val="false"/>
          <w:caps w:val="false"/>
          <w:color w:val="000000"/>
          <w:sz w:val="24"/>
          <w:szCs w:val="24"/>
        </w:rPr>
        <w:t xml:space="preserve">Mona</w:t>
      </w:r>
    </w:p>
    <w:p>
      <w:pPr>
        <w:spacing w:after="80" w:before="0"/>
        <w:jc w:val="center"/>
      </w:pPr>
      <w:r>
        <w:rPr>
          <w:rFonts w:ascii="Times New Roman" w:cs="Times New Roman" w:eastAsia="Times New Roman" w:hAnsi="Times New Roman"/>
          <w:b/>
          <w:bCs/>
          <w:caps w:val="false"/>
          <w:color w:val="000000"/>
          <w:sz w:val="24"/>
          <w:szCs w:val="24"/>
        </w:rPr>
        <w:t xml:space="preserve">Module: </w:t>
      </w:r>
      <w:r>
        <w:rPr>
          <w:rFonts w:ascii="Times New Roman" w:cs="Times New Roman" w:eastAsia="Times New Roman" w:hAnsi="Times New Roman"/>
          <w:b w:val="false"/>
          <w:bCs w:val="false"/>
          <w:caps w:val="false"/>
          <w:color w:val="000000"/>
          <w:sz w:val="24"/>
          <w:szCs w:val="24"/>
        </w:rPr>
        <w:t xml:space="preserve">771952</w:t>
      </w:r>
    </w:p>
    <w:p>
      <w:pPr>
        <w:spacing w:after="80" w:before="0"/>
        <w:jc w:val="center"/>
      </w:pPr>
      <w:r>
        <w:rPr>
          <w:rFonts w:ascii="Times New Roman" w:cs="Times New Roman" w:eastAsia="Times New Roman" w:hAnsi="Times New Roman"/>
          <w:b/>
          <w:bCs/>
          <w:caps w:val="false"/>
          <w:color w:val="000000"/>
          <w:sz w:val="24"/>
          <w:szCs w:val="24"/>
        </w:rPr>
        <w:t xml:space="preserve">Submission Date: </w:t>
      </w:r>
      <w:r>
        <w:rPr>
          <w:rFonts w:ascii="Times New Roman" w:cs="Times New Roman" w:eastAsia="Times New Roman" w:hAnsi="Times New Roman"/>
          <w:b w:val="false"/>
          <w:bCs w:val="false"/>
          <w:caps w:val="false"/>
          <w:color w:val="000000"/>
          <w:sz w:val="24"/>
          <w:szCs w:val="24"/>
        </w:rPr>
        <w:t xml:space="preserve">August 2026</w:t>
      </w:r>
    </w:p>
    <w:p>
      <w:pPr>
        <w:spacing w:after="300" w:before="0"/>
      </w:pPr>
    </w:p>
    <w:p>
      <w:pPr>
        <w:spacing w:after="80" w:before="0"/>
        <w:jc w:val="center"/>
      </w:pPr>
      <w:r>
        <w:rPr>
          <w:rFonts w:ascii="Times New Roman" w:cs="Times New Roman" w:eastAsia="Times New Roman" w:hAnsi="Times New Roman"/>
          <w:b w:val="false"/>
          <w:bCs w:val="false"/>
          <w:caps w:val="false"/>
          <w:color w:val="000000"/>
          <w:sz w:val="22"/>
          <w:szCs w:val="22"/>
        </w:rPr>
        <w:t xml:space="preserve">Submitted in partial fulfilment of the requirements for the degree of</w:t>
      </w:r>
    </w:p>
    <w:p>
      <w:pPr>
        <w:spacing w:after="80" w:before="0"/>
        <w:jc w:val="center"/>
      </w:pPr>
      <w:r>
        <w:rPr>
          <w:rFonts w:ascii="Times New Roman" w:cs="Times New Roman" w:eastAsia="Times New Roman" w:hAnsi="Times New Roman"/>
          <w:b/>
          <w:bCs/>
          <w:caps w:val="false"/>
          <w:color w:val="000000"/>
          <w:sz w:val="22"/>
          <w:szCs w:val="22"/>
        </w:rPr>
        <w:t xml:space="preserve">Master of Science in Applied Artificial Intelligence</w:t>
      </w:r>
    </w:p>
    <w:p>
      <w:r>
        <w:br w:type="page"/>
      </w:r>
    </w:p>
    <w:p>
      <w:pPr>
        <w:pStyle w:val="Headingfrontmatter"/>
        <w:spacing w:after="200" w:before="400"/>
      </w:pPr>
      <w:r>
        <w:rPr>
          <w:rFonts w:ascii="Times New Roman" w:cs="Times New Roman" w:eastAsia="Times New Roman" w:hAnsi="Times New Roman"/>
          <w:b/>
          <w:bCs/>
          <w:caps/>
          <w:color w:val="1F3864"/>
          <w:sz w:val="32"/>
          <w:szCs w:val="32"/>
        </w:rPr>
        <w:t xml:space="preserve">Abstract</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Predicting building energy performance from Energy Performance Certificate (EPC) data can support retrofit prioritisation and portfolio analytics, but centralising microdata raises privacy and governance barriers — especially for high-rise residential and large commercial assets. This dissertation presents PP-XAI, a privacy-preserving explainable AI framework that combines Federated Averaging (FedAvg) with SHAP (SHapley Additive exPlanations) and LIME (Local Interpretable Model-agnostic Explanations) for high-rise building energy prediction on UK EPC open data.</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After auditing bulk export schemas, high-rise filters were revised: domestic flats with storey count ≥ 5 in London, Manchester, and Birmingham client partitions, and non-domestic buildings with floor area ≥ 5,000 m² excluding institutional types. Target-leaking emissions features were excluded to preserve scientific integrity. On 5,663 filtered records drawn from over 14 million scanned certificates, centralised gradient boosting achieved R² ≈ 0.559 (RMSE 113.04); a federated MLP reached R² ≈ 0.518 (RMSE 118.21) after eight rounds, closely matching a centralised MLP (R² 0.528). Spearman rank correlation of mean absolute SHAP values between centralised and federated models was ρ ≈ 0.956 (p &lt; 0.001). Statistical tests (Wilcoxon p = 1.06 × 10⁻⁵; paired t-test p = 4.98 × 10⁻⁵) confirm the accuracy gap, whilst its practical magnitude is modest relative to the privacy benefit.</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A Streamlit prototype demonstrates interactive prediction with global SHAP explanations and local LIME attributions, aligned with EU AI Act Article 13 transparency expectations. The results indicate that federated learning can approach centralised neural accuracy while preserving explanation stability, with honestly reported limitations regarding domestic tower coverage in bulk EPC storey metadata fields. This work contributes an audit-informed filter strategy, a reproducible federated XAI pipeline, and a stakeholder-facing demonstrator for privacy-preserving building energy analytics.</w:t>
      </w:r>
    </w:p>
    <w:p>
      <w:pPr>
        <w:spacing w:after="100" w:before="0"/>
      </w:pPr>
    </w:p>
    <w:p>
      <w:pPr>
        <w:spacing w:after="200" w:before="0" w:line="360" w:lineRule="auto"/>
        <w:jc w:val="both"/>
      </w:pPr>
      <w:r>
        <w:rPr>
          <w:rFonts w:ascii="Times New Roman" w:cs="Times New Roman" w:eastAsia="Times New Roman" w:hAnsi="Times New Roman"/>
          <w:b/>
          <w:bCs/>
          <w:caps w:val="false"/>
          <w:color w:val="000000"/>
          <w:sz w:val="24"/>
          <w:szCs w:val="24"/>
        </w:rPr>
        <w:t xml:space="preserve">Keywords: </w:t>
      </w:r>
      <w:r>
        <w:rPr>
          <w:rFonts w:ascii="Times New Roman" w:cs="Times New Roman" w:eastAsia="Times New Roman" w:hAnsi="Times New Roman"/>
          <w:b w:val="false"/>
          <w:bCs w:val="false"/>
          <w:caps w:val="false"/>
          <w:color w:val="000000"/>
          <w:sz w:val="24"/>
          <w:szCs w:val="24"/>
        </w:rPr>
        <w:t xml:space="preserve">Federated Learning; Explainable AI; SHAP; LIME; Energy Performance Certificates; High-rise buildings; Privacy-preserving machine learning; UK EPC data</w:t>
      </w:r>
    </w:p>
    <w:p>
      <w:r>
        <w:br w:type="page"/>
      </w:r>
    </w:p>
    <w:p>
      <w:pPr>
        <w:pStyle w:val="Headingfrontmatter"/>
        <w:spacing w:after="200" w:before="400"/>
      </w:pPr>
      <w:r>
        <w:rPr>
          <w:rFonts w:ascii="Times New Roman" w:cs="Times New Roman" w:eastAsia="Times New Roman" w:hAnsi="Times New Roman"/>
          <w:b/>
          <w:bCs/>
          <w:caps/>
          <w:color w:val="1F3864"/>
          <w:sz w:val="32"/>
          <w:szCs w:val="32"/>
        </w:rPr>
        <w:t xml:space="preserve">Acknowledgements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I would like to thank my supervisor Mona for guidance and constructive feedback throughout this project. Her direction helped shape the research focus and improved the quality of the analysis substantially.</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I acknowledge the University of Hull MSc Applied Artificial Intelligence programme team for their support. EPC open data providers are acknowledged under Open Government Licence v3.0; OpenStreetMap contributors are acknowledged under the Open Database Licence (ODbL). Any errors or omissions remain my own.</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Development used Python 3.13 with NumPy, pandas, scikit-learn, XGBoost, LightGBM, PyTorch, Flower (flwr), SHAP, LIME, SciPy, Optuna, Matplotlib/Seaborn, GeoPandas, and Streamlit, as specified in requirements.txt. All experimental judgements, filter decisions, and analytical conclusions are my own.</w:t>
      </w:r>
    </w:p>
    <w:p>
      <w:r>
        <w:br w:type="page"/>
      </w:r>
    </w:p>
    <w:p>
      <w:pPr>
        <w:pStyle w:val="Heading1"/>
        <w:spacing w:after="200" w:before="400"/>
      </w:pPr>
      <w:r>
        <w:rPr>
          <w:rFonts w:ascii="Times New Roman" w:cs="Times New Roman" w:eastAsia="Times New Roman" w:hAnsi="Times New Roman"/>
          <w:b/>
          <w:bCs/>
          <w:caps/>
          <w:color w:val="1F3864"/>
          <w:sz w:val="32"/>
          <w:szCs w:val="32"/>
        </w:rPr>
        <w:t xml:space="preserve">Chapter 1 — Introduction</w:t>
      </w:r>
    </w:p>
    <w:p>
      <w:pPr>
        <w:pStyle w:val="Heading2"/>
        <w:spacing w:after="120" w:before="280"/>
      </w:pPr>
      <w:r>
        <w:rPr>
          <w:rFonts w:ascii="Times New Roman" w:cs="Times New Roman" w:eastAsia="Times New Roman" w:hAnsi="Times New Roman"/>
          <w:b/>
          <w:bCs/>
          <w:color w:val="1F3864"/>
          <w:sz w:val="26"/>
          <w:szCs w:val="26"/>
        </w:rPr>
        <w:t xml:space="preserve">1.1 Background and Motivation</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United Kingdom's pathway to net-zero greenhouse gas emissions places buildings at the centre of national energy and climate policy. Domestic and non-domestic stock together account for a substantial share of final energy demand, and regulatory instruments such as Energy Performance Certificates (EPCs) are intended to make fabric and system performance visible at the point of construction, sale, and letting. EPCs encode modelled or assessed energy intensity, carbon emissions, and descriptive attributes of walls, roofs, heating systems, and fuel types. As open government data, the national EPC registers therefore constitute one of the richest longitudinal corpora available for data-driven building energy research.</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High-rise buildings occupy a distinctive position within this stock. Residential tower blocks concentrate many dwellings under a shared envelope and services strategy, raising both energy-intensity questions and strong privacy concerns: individual flat-level certificates can reveal occupancy-related patterns that engage GDPR protections (McMahan et al., 2017). Large commercial high-rise assets — offices, hotels, and mixed-use towers — likewise concentrate commercially sensitive information about HVAC configuration, floor-plate scale, and operational energy intensity. Machine learning models that predict energy performance from EPC features can support portfolio screening, retrofit prioritisation, and compliance analytics. However, conventional centralised training assumes that microdata can be pooled in a single repository, which for councils, housing associations, and commercial landlords may be organisationally or legally constrained.</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Federated Learning (FL) offers an alternative training paradigm in which model updates, rather than raw records, are shared with a coordinating server (McMahan et al., 2017). In parallel, explainable AI (XAI) methods such as SHAP (Lundberg and Lee, 2017) and LIME (Ribeiro, Singh and Guestrin, 2016) produce feature attributions that help stakeholders understand why a model predicted a given energy intensity. Emerging regulatory expectations — including transparency themes associated with the EU Artificial Intelligence Act (2024) — reinforce the need for explanations that remain meaningful when models are trained under privacy-preserving regimes. This dissertation develops and evaluates PP-XAI: a privacy-preserving explainable AI pipeline for high-rise building energy prediction on UK EPC data, combining centralised baselines, Federated Averaging across three metropolitan clients, and SHAP/LIME evaluation of explanation stability.</w:t>
      </w:r>
    </w:p>
    <w:p>
      <w:pPr>
        <w:pStyle w:val="Heading2"/>
        <w:spacing w:after="120" w:before="280"/>
      </w:pPr>
      <w:r>
        <w:rPr>
          <w:rFonts w:ascii="Times New Roman" w:cs="Times New Roman" w:eastAsia="Times New Roman" w:hAnsi="Times New Roman"/>
          <w:b/>
          <w:bCs/>
          <w:color w:val="1F3864"/>
          <w:sz w:val="26"/>
          <w:szCs w:val="26"/>
        </w:rPr>
        <w:t xml:space="preserve">1.2 Problem Statement</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Despite extensive literature on building energy prediction and a growing body of FL applications, three gaps remain salient for UK high-rise EPC analytics. First, operational definitions of 'high-rise' in open EPC bulk exports do not always match documentary assumptions: storey-count thresholds of ten or more may yield essentially zero domestic records in national bulk extracts. This represents a significant data quality challenge that has not been systematically addressed in prior work. Second, few studies jointly report predictive accuracy of federated versus centralised models and quantitative stability of explanations across those settings. Third, stakeholder-facing prototypes that couple prediction with global and local explanations are rarely delivered alongside reproducible pipelines suitable for an MSc dissertation timeline.</w:t>
      </w:r>
    </w:p>
    <w:p>
      <w:pPr>
        <w:pStyle w:val="Heading2"/>
        <w:spacing w:after="120" w:before="280"/>
      </w:pPr>
      <w:r>
        <w:rPr>
          <w:rFonts w:ascii="Times New Roman" w:cs="Times New Roman" w:eastAsia="Times New Roman" w:hAnsi="Times New Roman"/>
          <w:b/>
          <w:bCs/>
          <w:color w:val="1F3864"/>
          <w:sz w:val="26"/>
          <w:szCs w:val="26"/>
        </w:rPr>
        <w:t xml:space="preserve">1.3 Aim and Objectives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aim of this dissertation is to develop and evaluate a privacy-preserving explainable AI framework that combines Federated Learning with SHAP and LIME for predicting high-rise building energy performance using UK EPC certificates.</w:t>
      </w:r>
    </w:p>
    <w:p>
      <w:pPr>
        <w:spacing w:after="60" w:before="0"/>
      </w:pP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specific objectives are:</w:t>
      </w:r>
    </w:p>
    <w:p>
      <w:pPr>
        <w:pStyle w:val="ListParagraph"/>
        <w:numPr>
          <w:ilvl w:val="0"/>
          <w:numId w:val="2"/>
        </w:numPr>
        <w:spacing w:after="80" w:before="0" w:line="360" w:lineRule="auto"/>
        <w:jc w:val="both"/>
      </w:pPr>
      <w:r>
        <w:rPr>
          <w:rFonts w:ascii="Times New Roman" w:cs="Times New Roman" w:eastAsia="Times New Roman" w:hAnsi="Times New Roman"/>
          <w:b/>
          <w:bCs/>
          <w:caps w:val="false"/>
          <w:color w:val="000000"/>
          <w:sz w:val="24"/>
          <w:szCs w:val="24"/>
        </w:rPr>
        <w:t xml:space="preserve">O1. </w:t>
      </w:r>
      <w:r>
        <w:rPr>
          <w:rFonts w:ascii="Times New Roman" w:cs="Times New Roman" w:eastAsia="Times New Roman" w:hAnsi="Times New Roman"/>
          <w:b w:val="false"/>
          <w:bCs w:val="false"/>
          <w:caps w:val="false"/>
          <w:color w:val="000000"/>
          <w:sz w:val="24"/>
          <w:szCs w:val="24"/>
        </w:rPr>
        <w:t xml:space="preserve">Implement centralised regression baselines (Random Forest, Gradient Boosting, XGBoost, LightGBM, MLP) for energy prediction on a filtered high-rise EPC corpus.</w:t>
      </w:r>
    </w:p>
    <w:p>
      <w:pPr>
        <w:pStyle w:val="ListParagraph"/>
        <w:numPr>
          <w:ilvl w:val="0"/>
          <w:numId w:val="2"/>
        </w:numPr>
        <w:spacing w:after="80" w:before="0" w:line="360" w:lineRule="auto"/>
        <w:jc w:val="both"/>
      </w:pPr>
      <w:r>
        <w:rPr>
          <w:rFonts w:ascii="Times New Roman" w:cs="Times New Roman" w:eastAsia="Times New Roman" w:hAnsi="Times New Roman"/>
          <w:b/>
          <w:bCs/>
          <w:caps w:val="false"/>
          <w:color w:val="000000"/>
          <w:sz w:val="24"/>
          <w:szCs w:val="24"/>
        </w:rPr>
        <w:t xml:space="preserve">O2. </w:t>
      </w:r>
      <w:r>
        <w:rPr>
          <w:rFonts w:ascii="Times New Roman" w:cs="Times New Roman" w:eastAsia="Times New Roman" w:hAnsi="Times New Roman"/>
          <w:b w:val="false"/>
          <w:bCs w:val="false"/>
          <w:caps w:val="false"/>
          <w:color w:val="000000"/>
          <w:sz w:val="24"/>
          <w:szCs w:val="24"/>
        </w:rPr>
        <w:t xml:space="preserve">Implement Federated Averaging across geographic clients (London, Manchester, Birmingham) without pooling raw client CSVs during federated training rounds.</w:t>
      </w:r>
    </w:p>
    <w:p>
      <w:pPr>
        <w:pStyle w:val="ListParagraph"/>
        <w:numPr>
          <w:ilvl w:val="0"/>
          <w:numId w:val="2"/>
        </w:numPr>
        <w:spacing w:after="80" w:before="0" w:line="360" w:lineRule="auto"/>
        <w:jc w:val="both"/>
      </w:pPr>
      <w:r>
        <w:rPr>
          <w:rFonts w:ascii="Times New Roman" w:cs="Times New Roman" w:eastAsia="Times New Roman" w:hAnsi="Times New Roman"/>
          <w:b/>
          <w:bCs/>
          <w:caps w:val="false"/>
          <w:color w:val="000000"/>
          <w:sz w:val="24"/>
          <w:szCs w:val="24"/>
        </w:rPr>
        <w:t xml:space="preserve">O3. </w:t>
      </w:r>
      <w:r>
        <w:rPr>
          <w:rFonts w:ascii="Times New Roman" w:cs="Times New Roman" w:eastAsia="Times New Roman" w:hAnsi="Times New Roman"/>
          <w:b w:val="false"/>
          <w:bCs w:val="false"/>
          <w:caps w:val="false"/>
          <w:color w:val="000000"/>
          <w:sz w:val="24"/>
          <w:szCs w:val="24"/>
        </w:rPr>
        <w:t xml:space="preserve">Integrate SHAP (global) and LIME (local) explanations for both centralised and federated models.</w:t>
      </w:r>
    </w:p>
    <w:p>
      <w:pPr>
        <w:pStyle w:val="ListParagraph"/>
        <w:numPr>
          <w:ilvl w:val="0"/>
          <w:numId w:val="2"/>
        </w:numPr>
        <w:spacing w:after="80" w:before="0" w:line="360" w:lineRule="auto"/>
        <w:jc w:val="both"/>
      </w:pPr>
      <w:r>
        <w:rPr>
          <w:rFonts w:ascii="Times New Roman" w:cs="Times New Roman" w:eastAsia="Times New Roman" w:hAnsi="Times New Roman"/>
          <w:b/>
          <w:bCs/>
          <w:caps w:val="false"/>
          <w:color w:val="000000"/>
          <w:sz w:val="24"/>
          <w:szCs w:val="24"/>
        </w:rPr>
        <w:t xml:space="preserve">O4. </w:t>
      </w:r>
      <w:r>
        <w:rPr>
          <w:rFonts w:ascii="Times New Roman" w:cs="Times New Roman" w:eastAsia="Times New Roman" w:hAnsi="Times New Roman"/>
          <w:b w:val="false"/>
          <w:bCs w:val="false"/>
          <w:caps w:val="false"/>
          <w:color w:val="000000"/>
          <w:sz w:val="24"/>
          <w:szCs w:val="24"/>
        </w:rPr>
        <w:t xml:space="preserve">Compare predictive accuracy using RMSE, MAE, R², and MAPE, and compare explanation stability using Spearman correlation of mean absolute SHAP values.</w:t>
      </w:r>
    </w:p>
    <w:p>
      <w:pPr>
        <w:pStyle w:val="ListParagraph"/>
        <w:numPr>
          <w:ilvl w:val="0"/>
          <w:numId w:val="2"/>
        </w:numPr>
        <w:spacing w:after="160" w:before="0" w:line="360" w:lineRule="auto"/>
        <w:jc w:val="both"/>
      </w:pPr>
      <w:r>
        <w:rPr>
          <w:rFonts w:ascii="Times New Roman" w:cs="Times New Roman" w:eastAsia="Times New Roman" w:hAnsi="Times New Roman"/>
          <w:b/>
          <w:bCs/>
          <w:caps w:val="false"/>
          <w:color w:val="000000"/>
          <w:sz w:val="24"/>
          <w:szCs w:val="24"/>
        </w:rPr>
        <w:t xml:space="preserve">O5. </w:t>
      </w:r>
      <w:r>
        <w:rPr>
          <w:rFonts w:ascii="Times New Roman" w:cs="Times New Roman" w:eastAsia="Times New Roman" w:hAnsi="Times New Roman"/>
          <w:b w:val="false"/>
          <w:bCs w:val="false"/>
          <w:caps w:val="false"/>
          <w:color w:val="000000"/>
          <w:sz w:val="24"/>
          <w:szCs w:val="24"/>
        </w:rPr>
        <w:t xml:space="preserve">Deliver a Streamlit prototype for interactive prediction with reference to SHAP summaries and LIME local explanations.</w:t>
      </w:r>
    </w:p>
    <w:p>
      <w:pPr>
        <w:pStyle w:val="Heading2"/>
        <w:spacing w:after="120" w:before="280"/>
      </w:pPr>
      <w:r>
        <w:rPr>
          <w:rFonts w:ascii="Times New Roman" w:cs="Times New Roman" w:eastAsia="Times New Roman" w:hAnsi="Times New Roman"/>
          <w:b/>
          <w:bCs/>
          <w:color w:val="1F3864"/>
          <w:sz w:val="26"/>
          <w:szCs w:val="26"/>
        </w:rPr>
        <w:t xml:space="preserve">1.4 Research Questions</w:t>
      </w:r>
    </w:p>
    <w:p>
      <w:pPr>
        <w:spacing w:after="80" w:before="0" w:line="360" w:lineRule="auto"/>
        <w:jc w:val="both"/>
      </w:pPr>
      <w:r>
        <w:rPr>
          <w:rFonts w:ascii="Times New Roman" w:cs="Times New Roman" w:eastAsia="Times New Roman" w:hAnsi="Times New Roman"/>
          <w:b/>
          <w:bCs/>
          <w:caps w:val="false"/>
          <w:color w:val="000000"/>
          <w:sz w:val="24"/>
          <w:szCs w:val="24"/>
        </w:rPr>
        <w:t xml:space="preserve">RQ1: </w:t>
      </w:r>
      <w:r>
        <w:rPr>
          <w:rFonts w:ascii="Times New Roman" w:cs="Times New Roman" w:eastAsia="Times New Roman" w:hAnsi="Times New Roman"/>
          <w:b w:val="false"/>
          <w:bCs w:val="false"/>
          <w:caps w:val="false"/>
          <w:color w:val="000000"/>
          <w:sz w:val="24"/>
          <w:szCs w:val="24"/>
        </w:rPr>
        <w:t xml:space="preserve">Can Federated Learning approach centralised regression accuracy while keeping client data local?</w:t>
      </w:r>
    </w:p>
    <w:p>
      <w:pPr>
        <w:spacing w:after="80" w:before="0" w:line="360" w:lineRule="auto"/>
        <w:jc w:val="both"/>
      </w:pPr>
      <w:r>
        <w:rPr>
          <w:rFonts w:ascii="Times New Roman" w:cs="Times New Roman" w:eastAsia="Times New Roman" w:hAnsi="Times New Roman"/>
          <w:b/>
          <w:bCs/>
          <w:caps w:val="false"/>
          <w:color w:val="000000"/>
          <w:sz w:val="24"/>
          <w:szCs w:val="24"/>
        </w:rPr>
        <w:t xml:space="preserve">RQ2: </w:t>
      </w:r>
      <w:r>
        <w:rPr>
          <w:rFonts w:ascii="Times New Roman" w:cs="Times New Roman" w:eastAsia="Times New Roman" w:hAnsi="Times New Roman"/>
          <w:b w:val="false"/>
          <w:bCs w:val="false"/>
          <w:caps w:val="false"/>
          <w:color w:val="000000"/>
          <w:sz w:val="24"/>
          <w:szCs w:val="24"/>
        </w:rPr>
        <w:t xml:space="preserve">How do SHAP and LIME explanations from federated models compare in stability to those from centralised equivalents?</w:t>
      </w:r>
    </w:p>
    <w:p>
      <w:pPr>
        <w:spacing w:after="80" w:before="0" w:line="360" w:lineRule="auto"/>
        <w:jc w:val="both"/>
      </w:pPr>
      <w:r>
        <w:rPr>
          <w:rFonts w:ascii="Times New Roman" w:cs="Times New Roman" w:eastAsia="Times New Roman" w:hAnsi="Times New Roman"/>
          <w:b/>
          <w:bCs/>
          <w:caps w:val="false"/>
          <w:color w:val="000000"/>
          <w:sz w:val="24"/>
          <w:szCs w:val="24"/>
        </w:rPr>
        <w:t xml:space="preserve">RQ3: </w:t>
      </w:r>
      <w:r>
        <w:rPr>
          <w:rFonts w:ascii="Times New Roman" w:cs="Times New Roman" w:eastAsia="Times New Roman" w:hAnsi="Times New Roman"/>
          <w:b w:val="false"/>
          <w:bCs w:val="false"/>
          <w:caps w:val="false"/>
          <w:color w:val="000000"/>
          <w:sz w:val="24"/>
          <w:szCs w:val="24"/>
        </w:rPr>
        <w:t xml:space="preserve">Which building features most influence high-rise energy predictions, and how consistent are attributions across training regimes?</w:t>
      </w:r>
    </w:p>
    <w:p>
      <w:pPr>
        <w:spacing w:after="160" w:before="0" w:line="360" w:lineRule="auto"/>
        <w:jc w:val="both"/>
      </w:pPr>
      <w:r>
        <w:rPr>
          <w:rFonts w:ascii="Times New Roman" w:cs="Times New Roman" w:eastAsia="Times New Roman" w:hAnsi="Times New Roman"/>
          <w:b/>
          <w:bCs/>
          <w:caps w:val="false"/>
          <w:color w:val="000000"/>
          <w:sz w:val="24"/>
          <w:szCs w:val="24"/>
        </w:rPr>
        <w:t xml:space="preserve">RQ4: </w:t>
      </w:r>
      <w:r>
        <w:rPr>
          <w:rFonts w:ascii="Times New Roman" w:cs="Times New Roman" w:eastAsia="Times New Roman" w:hAnsi="Times New Roman"/>
          <w:b w:val="false"/>
          <w:bCs w:val="false"/>
          <w:caps w:val="false"/>
          <w:color w:val="000000"/>
          <w:sz w:val="24"/>
          <w:szCs w:val="24"/>
        </w:rPr>
        <w:t xml:space="preserve">How can federated XAI frameworks support transparency requirements for building energy assessment applications?</w:t>
      </w:r>
    </w:p>
    <w:p>
      <w:pPr>
        <w:pStyle w:val="Heading2"/>
        <w:spacing w:after="120" w:before="280"/>
      </w:pPr>
      <w:r>
        <w:rPr>
          <w:rFonts w:ascii="Times New Roman" w:cs="Times New Roman" w:eastAsia="Times New Roman" w:hAnsi="Times New Roman"/>
          <w:b/>
          <w:bCs/>
          <w:color w:val="1F3864"/>
          <w:sz w:val="26"/>
          <w:szCs w:val="26"/>
        </w:rPr>
        <w:t xml:space="preserve">1.5 Revised High-Rise Definition</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empirical scope is restricted to England and Wales EPC certificates lodged approximately 2018–2026, mapped to three federated clients corresponding to Greater London boroughs, Greater Manchester authorities, and West Midlands authorities centred on Birmingham. An empirical audit of bulk exports was fundamental to this research and revealed a critical data quality issue.</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Domestic (Scenario 1A, revised): Flats in client local authorities with flat_storey_count ≥ 5. An audit of bulk exports showed that flat_storey_count ≥ 10 yields essentially zero rows (2024 domestic maximum observed ≈ 8), and floor_level in the bulk schema is limited to low integer bands rather than true storey numbers. The ≥5 threshold is therefore an honest mid/high-rise proxy, documented transparently as a limitation. This audit finding is itself a contribution of the dissertation.</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Non-domestic (Scenario 1B): Buildings with floor_area ≥ 5,000 m², retaining office, hotel, retail, mixed, and industrial-like types while excluding schools, hospitals, places of worship, sports centres, and related institutional categories whose operational schedules would confound high-rise commercial modelling. The modelling target is primary_energy_value (bulk non-domestic schema field).</w:t>
      </w:r>
    </w:p>
    <w:p>
      <w:pPr>
        <w:pStyle w:val="Heading2"/>
        <w:spacing w:after="120" w:before="280"/>
      </w:pPr>
      <w:r>
        <w:rPr>
          <w:rFonts w:ascii="Times New Roman" w:cs="Times New Roman" w:eastAsia="Times New Roman" w:hAnsi="Times New Roman"/>
          <w:b/>
          <w:bCs/>
          <w:color w:val="1F3864"/>
          <w:sz w:val="26"/>
          <w:szCs w:val="26"/>
        </w:rPr>
        <w:t xml:space="preserve">1.6 Research Contributions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This dissertation makes the following original contributions:</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An empirically grounded high-rise filtering strategy for UK EPC bulk CSVs, including schema corrections and audit documentation of storey field limitations.</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A reproducible Python pipeline comparing centralised ensembles and neural networks with FedAvg MLP across three city clients.</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Quantitative evidence of high SHAP rank stability (Spearman ρ ≈ 0.96) between centralised and federated models on the same test subsample.</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A Streamlit demonstration artefact supporting stakeholder communication and viva examination.</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Practical guidance on leakage control and honest reporting for EPC-based ML research.</w:t>
      </w:r>
    </w:p>
    <w:p>
      <w:pPr>
        <w:spacing w:after="100" w:before="0"/>
      </w:pPr>
    </w:p>
    <w:p>
      <w:pPr>
        <w:pStyle w:val="Heading2"/>
        <w:spacing w:after="120" w:before="280"/>
      </w:pPr>
      <w:r>
        <w:rPr>
          <w:rFonts w:ascii="Times New Roman" w:cs="Times New Roman" w:eastAsia="Times New Roman" w:hAnsi="Times New Roman"/>
          <w:b/>
          <w:bCs/>
          <w:color w:val="1F3864"/>
          <w:sz w:val="26"/>
          <w:szCs w:val="26"/>
        </w:rPr>
        <w:t xml:space="preserve">1.7 Dissertation Structure</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Chapter 2 reviews building energy prediction, federated learning, XAI, and privacy and regulation literature, culminating in the research gap. Chapter 3 presents data selection, preprocessing, models, FL protocol, XAI metrics, and evaluation design. Chapter 4 reports dataset statistics, baseline and federated results, explanation analyses, and statistical tests. Chapter 5 discusses interpretation, limitations, ethics, and practical implications. Chapter 6 concludes and outlines future work. Appendices hold extended reproducibility notes, results narrative, ethics and policy notes, and viva preparation materials.</w:t>
      </w:r>
    </w:p>
    <w:p>
      <w:r>
        <w:br w:type="page"/>
      </w:r>
    </w:p>
    <w:p>
      <w:pPr>
        <w:pStyle w:val="Heading1"/>
        <w:spacing w:after="200" w:before="400"/>
      </w:pPr>
      <w:r>
        <w:rPr>
          <w:rFonts w:ascii="Times New Roman" w:cs="Times New Roman" w:eastAsia="Times New Roman" w:hAnsi="Times New Roman"/>
          <w:b/>
          <w:bCs/>
          <w:caps/>
          <w:color w:val="1F3864"/>
          <w:sz w:val="32"/>
          <w:szCs w:val="32"/>
        </w:rPr>
        <w:t xml:space="preserve">Chapter 2 — Literature Review</w:t>
      </w:r>
    </w:p>
    <w:p>
      <w:pPr>
        <w:pStyle w:val="Heading2"/>
        <w:spacing w:after="120" w:before="280"/>
      </w:pPr>
      <w:r>
        <w:rPr>
          <w:rFonts w:ascii="Times New Roman" w:cs="Times New Roman" w:eastAsia="Times New Roman" w:hAnsi="Times New Roman"/>
          <w:b/>
          <w:bCs/>
          <w:color w:val="1F3864"/>
          <w:sz w:val="26"/>
          <w:szCs w:val="26"/>
        </w:rPr>
        <w:t xml:space="preserve">2.1 Building Energy Performance and EPC Data</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Building energy prediction research spans physics-based simulation, statistical regression, and modern machine learning. Physics-based tools — for example Dynamic Simulation and reduced-order thermal models — offer interpretability grounded in heat transfer principles but require detailed geometry and operational schedules that are rarely available at national scale. Data-driven approaches instead learn mappings from observable building descriptors to energy intensity or demand. Ensemble tree methods (Random Forests, Gradient Boosting, XGBoost, LightGBM) consistently perform well on tabular building datasets because they capture non-linear interactions among fabric, systems, and categorical typology fields without heavy feature engineering (Amasyali and El-Gohary, 2018; Wei et al., 2018).</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UK EPCs provide standardised fields for ratings, modelled consumption, construction descriptions, and heating fuels under the Open Government Licence. Prior studies use EPCs for stock characterisation, fuel poverty proxies, retrofit targeting, and rating prediction. Fewer works isolate high-rise typologies with explicit storey or floor-area filters, and fewer still confront the mismatch between documentary high-rise thresholds and bulk export field quality. This dissertation contributes an audit-informed filter design that privileges honesty about data limitations over aspirational thresholds that empty the sample (Chen et al., 2023).</w:t>
      </w:r>
    </w:p>
    <w:p>
      <w:pPr>
        <w:pStyle w:val="Heading2"/>
        <w:spacing w:after="120" w:before="280"/>
      </w:pPr>
      <w:r>
        <w:rPr>
          <w:rFonts w:ascii="Times New Roman" w:cs="Times New Roman" w:eastAsia="Times New Roman" w:hAnsi="Times New Roman"/>
          <w:b/>
          <w:bCs/>
          <w:color w:val="1F3864"/>
          <w:sz w:val="26"/>
          <w:szCs w:val="26"/>
        </w:rPr>
        <w:t xml:space="preserve">2.2 Privacy-Preserving Learning for Built-Environment Data</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Energy and building datasets can be sensitive even when released under open licences: address-level linkages, small-area inference, and commercial HVAC configurations create residual risks. Privacy-preserving machine learning encompasses anonymisation, differential privacy, secure multiparty computation, and federated learning. FL is attractive when multiple organisations each hold locally rich but non-shareable tables — precisely the situation of local authorities and portfolio managers holding EPC-related or meter-linked datasets.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FedAvg (McMahan et al., 2017) iteratively averages client model parameters weighted by local dataset size. Under non-IID (non-identically distributed) client distributions, client drift can degrade convergence; FedProx and related methods add proximal regularisation to mitigate this (Li et al., 2020). Flower (Beutel et al., 2020) provides an engineering framework for simulating and deploying FL across diverse client environments. Applications in smart grids, healthcare, and IoT are well established; building-sector FL remains comparatively sparse, and coupling FL with formal XAI evaluation is rarer still. This gap motivates the present work.</w:t>
      </w:r>
    </w:p>
    <w:p>
      <w:pPr>
        <w:pStyle w:val="Heading2"/>
        <w:spacing w:after="120" w:before="280"/>
      </w:pPr>
      <w:r>
        <w:rPr>
          <w:rFonts w:ascii="Times New Roman" w:cs="Times New Roman" w:eastAsia="Times New Roman" w:hAnsi="Times New Roman"/>
          <w:b/>
          <w:bCs/>
          <w:color w:val="1F3864"/>
          <w:sz w:val="26"/>
          <w:szCs w:val="26"/>
        </w:rPr>
        <w:t xml:space="preserve">2.3 Explainable AI for Regression on Tabular Data</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Global explanations summarise which features drive predictions across a dataset; local explanations justify individual instances (Molnar, 2022). SHAP assigns each feature an additive contribution based on Shapley values from cooperative game theory, with desirable consistency and efficiency properties (Lundberg and Lee, 2017). TreeExplainer computes exact SHAP values efficiently for tree ensembles; KernelExplainer approximates SHAP for arbitrary models at higher computational cost. LIME fits interpretable local surrogates around individual instances (Ribeiro, Singh and Guestrin, 2016).</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Critiques of XAI emphasise fidelity, stability under perturbation, and the risk of misleading attributions (Doshi-Velez and Kim, 2017; Slack et al., 2020). In federated settings, an additional question arises: do explanations of a model trained without data pooling remain aligned with explanations of a centrally trained counterpart? This dissertation operationalises that question via Spearman correlation of mean absolute SHAP profiles — providing, to the author's knowledge, one of the first quantitative assessments of explanation stability under geographic federated partitioning for building energy data.</w:t>
      </w:r>
    </w:p>
    <w:p>
      <w:pPr>
        <w:pStyle w:val="Heading2"/>
        <w:spacing w:after="120" w:before="280"/>
      </w:pPr>
      <w:r>
        <w:rPr>
          <w:rFonts w:ascii="Times New Roman" w:cs="Times New Roman" w:eastAsia="Times New Roman" w:hAnsi="Times New Roman"/>
          <w:b/>
          <w:bCs/>
          <w:color w:val="1F3864"/>
          <w:sz w:val="26"/>
          <w:szCs w:val="26"/>
        </w:rPr>
        <w:t xml:space="preserve">2.4 Regulatory Context</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GDPR constrains processing of personal data and influences how household energy information may be shared across organisational boundaries. Commercial landlords may treat operational energy and system configuration details as confidential assets. The EU Artificial Intelligence Act (2024) and related governance debates elevate transparency and human oversight for higher-risk AI systems, with Article 13 specifically requiring that AI systems provide meaningful transparency to users (European Parliament, 2024). Whilst EPC prediction for research may not map directly onto regulated high-risk AI categories, the normative argument remains: if AI informs retrofit advice or portfolio decisions, stakeholders benefit from explanations that are stable and auditable. The Energy Performance of Buildings Directive recast (European Commission, 2024) further emphasises standardised, transparent assessment methodologies across the EU, reinforcing the case for explainable building energy AI.</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PP-XAI therefore treats FL and XAI as complementary pillars of trustworthy analytics rather than optional extras. Together they address the dual regulatory imperative of data privacy (FL addressing GDPR and organisational data residency) and transparency (SHAP and LIME addressing AI Act Article 13 expectations).</w:t>
      </w:r>
    </w:p>
    <w:p>
      <w:pPr>
        <w:pStyle w:val="Heading2"/>
        <w:spacing w:after="120" w:before="280"/>
      </w:pPr>
      <w:r>
        <w:rPr>
          <w:rFonts w:ascii="Times New Roman" w:cs="Times New Roman" w:eastAsia="Times New Roman" w:hAnsi="Times New Roman"/>
          <w:b/>
          <w:bCs/>
          <w:color w:val="1F3864"/>
          <w:sz w:val="26"/>
          <w:szCs w:val="26"/>
        </w:rPr>
        <w:t xml:space="preserve">2.5 Tabular Learning for Energy Intensity</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Cross-sectional prediction of energy intensity differs from short-term load forecasting: the former emphasises static building descriptors; the latter emphasises calendars, weather, and autoregression. EPC modelling belongs to the former category. Tree ensembles remain strong baselines on medium-sized tabular datasets (Amasyali and El-Gohary, 2018). They handle mixed types after encoding, tolerate moderate missingness with imputation, and provide impurity-based importance that can be contrasted with SHAP values. Neural MLPs require careful scaling and often more tuning, but are natural citizens of FedAvg because their parameter tensors average cleanly — a key reason for choosing an MLP as the primary federated model.</w:t>
      </w:r>
    </w:p>
    <w:p>
      <w:pPr>
        <w:pStyle w:val="Heading2"/>
        <w:spacing w:after="120" w:before="280"/>
      </w:pPr>
      <w:r>
        <w:rPr>
          <w:rFonts w:ascii="Times New Roman" w:cs="Times New Roman" w:eastAsia="Times New Roman" w:hAnsi="Times New Roman"/>
          <w:b/>
          <w:bCs/>
          <w:color w:val="1F3864"/>
          <w:sz w:val="26"/>
          <w:szCs w:val="26"/>
        </w:rPr>
        <w:t xml:space="preserve">2.6 Related Work Synthesis and Research Gap</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Synthesising the above: (i) tabular ML on EPCs is mature for centralised prediction; (ii) FL is theoretically and practically ready for multi-organisation building data; (iii) SHAP and LIME are established for tabular regression; (iv) integrated evaluation of accuracy and explanation stability for UK high-rise EPC FL is absent from the literature. No identified study simultaneously revises high-rise filters against bulk schema reality, compares centralised ensembles with FedAvg on London, Manchester, and Birmingham partitions, and reports Spearman stability of SHAP rankings across those regimes.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Research Area</w:t>
            </w:r>
          </w:p>
        </w:tc>
        <w:tc>
          <w:tcPr>
            <w:tcW w:type="dxa" w:w="318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Existing Work</w:t>
            </w:r>
          </w:p>
        </w:tc>
        <w:tc>
          <w:tcPr>
            <w:tcW w:type="dxa" w:w="318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PP-XAI Contribution</w:t>
            </w:r>
          </w:p>
        </w:tc>
      </w:tr>
      <w:tr>
        <w:tc>
          <w:tcPr>
            <w:tcW w:type="dxa" w:w="30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High-rise EPC filtering</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Aspirational thresholds; no audit</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Schema audit; revised ≥5 proxy documented</w:t>
            </w:r>
          </w:p>
        </w:tc>
      </w:tr>
      <w:tr>
        <w:tc>
          <w:tcPr>
            <w:tcW w:type="dxa" w:w="30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Centralised EPC ML</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Extensive (Chen et al., 2023; Wei et al., 2018)</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Replicated with leakage control</w:t>
            </w:r>
          </w:p>
        </w:tc>
      </w:tr>
      <w:tr>
        <w:tc>
          <w:tcPr>
            <w:tcW w:type="dxa" w:w="30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FL for building energy</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Smart meters; no EPC</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First FL on UK EPC high-rise partitions</w:t>
            </w:r>
          </w:p>
        </w:tc>
      </w:tr>
      <w:tr>
        <w:tc>
          <w:tcPr>
            <w:tcW w:type="dxa" w:w="30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XAI for building energy</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Centralised only (Molnar, 2022)</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SHAP/LIME stability under FL evaluated</w:t>
            </w:r>
          </w:p>
        </w:tc>
      </w:tr>
      <w:tr>
        <w:tc>
          <w:tcPr>
            <w:tcW w:type="dxa" w:w="30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FL + XAI joint evaluation</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None identified in built environment</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Spearman ρ stability metric introduced</w:t>
            </w:r>
          </w:p>
        </w:tc>
      </w:tr>
    </w:tbl>
    <w:p>
      <w:pPr>
        <w:spacing w:after="200" w:before="60"/>
        <w:jc w:val="center"/>
      </w:pPr>
      <w:r>
        <w:rPr>
          <w:rFonts w:ascii="Times New Roman" w:cs="Times New Roman" w:eastAsia="Times New Roman" w:hAnsi="Times New Roman"/>
          <w:b w:val="false"/>
          <w:bCs w:val="false"/>
          <w:caps w:val="false"/>
          <w:color w:val="000000"/>
          <w:sz w:val="20"/>
          <w:szCs w:val="20"/>
        </w:rPr>
        <w:t xml:space="preserve">Table 2.1: Research gap analysis — existing work versus PP-XAI contribution</w:t>
      </w:r>
    </w:p>
    <w:p>
      <w:pPr>
        <w:spacing w:after="100" w:before="0"/>
      </w:pP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Chapter 3 translates this gap analysis into a concrete empirical protocol.</w:t>
      </w:r>
    </w:p>
    <w:p>
      <w:r>
        <w:br w:type="page"/>
      </w:r>
    </w:p>
    <w:p>
      <w:pPr>
        <w:pStyle w:val="Heading1"/>
        <w:spacing w:after="200" w:before="400"/>
      </w:pPr>
      <w:r>
        <w:rPr>
          <w:rFonts w:ascii="Times New Roman" w:cs="Times New Roman" w:eastAsia="Times New Roman" w:hAnsi="Times New Roman"/>
          <w:b/>
          <w:bCs/>
          <w:caps/>
          <w:color w:val="1F3864"/>
          <w:sz w:val="32"/>
          <w:szCs w:val="32"/>
        </w:rPr>
        <w:t xml:space="preserve">Chapter 3 — Methodology</w:t>
      </w:r>
    </w:p>
    <w:p>
      <w:pPr>
        <w:pStyle w:val="Heading2"/>
        <w:spacing w:after="120" w:before="280"/>
      </w:pPr>
      <w:r>
        <w:rPr>
          <w:rFonts w:ascii="Times New Roman" w:cs="Times New Roman" w:eastAsia="Times New Roman" w:hAnsi="Times New Roman"/>
          <w:b/>
          <w:bCs/>
          <w:color w:val="1F3864"/>
          <w:sz w:val="26"/>
          <w:szCs w:val="26"/>
        </w:rPr>
        <w:t xml:space="preserve">3.1 Research Design Overview</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This study employs a comparative experimental design. A single filtered EPC corpus is (a) trained centrally with multiple regressors and (b) trained federatively with an MLP under FedAvg across three geographic clients. Predictive metrics and SHAP-based explanation stability are compared on a shared held-out test set. A Streamlit prototype demonstrates stakeholder-facing use. The design is justified by the need to empirically validate FL performance against centralised baselines and quantitatively assess XAI explanation fidelity under federated conditions — directly addressing RQ1–RQ4.</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research paradigm is positivist and quantitative: propositions (hypotheses H1–H4) are tested with numerical metrics and statistical tests. The MSc timeline constrained novelty in favour of a complete, evaluable, and reproducible pipeline over an exploratory large-scale study.</w:t>
      </w:r>
    </w:p>
    <w:p>
      <w:r>
        <w:rPr>
          <w:rFonts w:ascii="Times New Roman" w:hAnsi="Times New Roman"/>
          <w:sz w:val="22"/>
        </w:rPr>
        <w:t>The following hypotheses operationalise the research questions:</w:t>
      </w:r>
    </w:p>
    <w:p>
      <w:r>
        <w:rPr>
          <w:rFonts w:ascii="Times New Roman" w:hAnsi="Times New Roman"/>
          <w:sz w:val="22"/>
        </w:rPr>
        <w:t>H1: Federated Averaging achieves test RMSE within 5% of the centralised MLP on the same held-out set.</w:t>
      </w:r>
    </w:p>
    <w:p>
      <w:r>
        <w:rPr>
          <w:rFonts w:ascii="Times New Roman" w:hAnsi="Times New Roman"/>
          <w:sz w:val="22"/>
        </w:rPr>
        <w:t>H2: Spearman rank correlation of mean |SHAP| profiles between centralised and federated models exceeds 0.85.</w:t>
      </w:r>
    </w:p>
    <w:p>
      <w:r>
        <w:rPr>
          <w:rFonts w:ascii="Times New Roman" w:hAnsi="Times New Roman"/>
          <w:sz w:val="22"/>
        </w:rPr>
        <w:t>H3: Top-5 influential building features are consistent across at least 80% of federated clients (operationalised via pairwise Jaccard similarity of per-client top-5 sets; pass if average Jaccard &gt; 0.60).</w:t>
      </w:r>
    </w:p>
    <w:p>
      <w:r>
        <w:rPr>
          <w:rFonts w:ascii="Times New Roman" w:hAnsi="Times New Roman"/>
          <w:sz w:val="22"/>
        </w:rPr>
        <w:t>H4: The Streamlit prototype can present SHAP/LIME outputs with an EU AI Act Article 13 transparency note suitable for stakeholder demonstration.</w:t>
      </w:r>
    </w:p>
    <w:p>
      <w:pPr>
        <w:pStyle w:val="Heading2"/>
        <w:spacing w:after="120" w:before="280"/>
      </w:pPr>
      <w:r>
        <w:rPr>
          <w:rFonts w:ascii="Times New Roman" w:cs="Times New Roman" w:eastAsia="Times New Roman" w:hAnsi="Times New Roman"/>
          <w:b/>
          <w:bCs/>
          <w:color w:val="1F3864"/>
          <w:sz w:val="26"/>
          <w:szCs w:val="26"/>
        </w:rPr>
        <w:t xml:space="preserve">3.2 Data Sources and Licensing</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Primary data are UK EPC bulk certificate CSVs for domestic and non-domestic buildings, published under Open Government Licence v3.0 via the Ministry of Housing, Communities and Local Government EPC portal. Certificate years 2018–2026 were scanned in chunked mode to manage memory constraints (domestic national files exceed several gigabytes per year). Recommendations CSVs were not used; prediction targets and modelling features reside on certificates only.</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Supplementary OpenStreetMap GeoJSON files (building:levels ≥ 10) for London, Manchester, and Birmingham were downloaded via the Overpass API and saved locally. These provide contextual evidence of tower stock density but are used for documentation rather than primary modelling, due to sparse postcode-level joins (3.9% match rate).</w:t>
      </w:r>
    </w:p>
    <w:p>
      <w:pPr>
        <w:pStyle w:val="Heading2"/>
        <w:spacing w:after="120" w:before="280"/>
      </w:pPr>
      <w:r>
        <w:rPr>
          <w:rFonts w:ascii="Times New Roman" w:cs="Times New Roman" w:eastAsia="Times New Roman" w:hAnsi="Times New Roman"/>
          <w:b/>
          <w:bCs/>
          <w:color w:val="1F3864"/>
          <w:sz w:val="26"/>
          <w:szCs w:val="26"/>
        </w:rPr>
        <w:t xml:space="preserve">3.3 High-Rise Filtering Strategy</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A critical methodological contribution of this dissertation is the empirical audit of EPC bulk export schemas prior to modelling. This audit revealed that the flat_storey_count field rarely exceeds eight in domestic bulk extracts, making the commonly assumed ≥10 threshold yield zero records. The floor_level field is similarly limited to low integer band values. The revised filters are: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500"/>
        <w:gridCol w:w="1860"/>
      </w:tblGrid>
      <w:tr>
        <w:tc>
          <w:tcPr>
            <w:tcW w:type="dxa" w:w="20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Typology</w:t>
            </w:r>
          </w:p>
        </w:tc>
        <w:tc>
          <w:tcPr>
            <w:tcW w:type="dxa" w:w="30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Inclusion Rules</w:t>
            </w:r>
          </w:p>
        </w:tc>
        <w:tc>
          <w:tcPr>
            <w:tcW w:type="dxa" w:w="25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Target Variable</w:t>
            </w:r>
          </w:p>
        </w:tc>
        <w:tc>
          <w:tcPr>
            <w:tcW w:type="dxa" w:w="186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Rationale</w:t>
            </w:r>
          </w:p>
        </w:tc>
      </w:tr>
      <w:tr>
        <w:tc>
          <w:tcPr>
            <w:tcW w:type="dxa" w:w="20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Domestic (1A)</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property_type = Flat; flat_storey_count ≥ 5; client LA membership</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energy_consumption_current</w:t>
            </w:r>
          </w:p>
        </w:tc>
        <w:tc>
          <w:tcPr>
            <w:tcW w:type="dxa" w:w="1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Honest mid/high-rise proxy</w:t>
            </w:r>
          </w:p>
        </w:tc>
      </w:tr>
      <w:tr>
        <w:tc>
          <w:tcPr>
            <w:tcW w:type="dxa" w:w="20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Non-domestic (1B)</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floor_area ≥ 5,000 m²; exclude schools, hospitals, worship, sports; client LA membership</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primary_energy_value</w:t>
            </w:r>
          </w:p>
        </w:tc>
        <w:tc>
          <w:tcPr>
            <w:tcW w:type="dxa" w:w="1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Commercial high-rise proxy</w:t>
            </w:r>
          </w:p>
        </w:tc>
      </w:tr>
    </w:tbl>
    <w:p>
      <w:pPr>
        <w:spacing w:after="200" w:before="60"/>
        <w:jc w:val="center"/>
      </w:pPr>
      <w:r>
        <w:rPr>
          <w:rFonts w:ascii="Times New Roman" w:cs="Times New Roman" w:eastAsia="Times New Roman" w:hAnsi="Times New Roman"/>
          <w:b w:val="false"/>
          <w:bCs w:val="false"/>
          <w:caps w:val="false"/>
          <w:color w:val="000000"/>
          <w:sz w:val="20"/>
          <w:szCs w:val="20"/>
        </w:rPr>
        <w:t xml:space="preserve">Table 3.1: High-rise filtering strategy and target variable selection</w:t>
      </w:r>
    </w:p>
    <w:p>
      <w:pPr>
        <w:spacing w:after="100" w:before="0"/>
      </w:pP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Features deliberately exclude CO₂ intensity and asset/environment rating scores that were found to correlate near-perfectly with the energy target, causing target leakage and inflating apparent R² to above 0.95. Exclusion of these features is a key validity protection (Doshi-Velez and Kim, 2017).</w:t>
      </w:r>
    </w:p>
    <w:p>
      <w:pPr>
        <w:pStyle w:val="Heading2"/>
        <w:spacing w:after="120" w:before="280"/>
      </w:pPr>
      <w:r>
        <w:rPr>
          <w:rFonts w:ascii="Times New Roman" w:cs="Times New Roman" w:eastAsia="Times New Roman" w:hAnsi="Times New Roman"/>
          <w:b/>
          <w:bCs/>
          <w:color w:val="1F3864"/>
          <w:sz w:val="26"/>
          <w:szCs w:val="26"/>
        </w:rPr>
        <w:t xml:space="preserve">3.4 Preprocessing Pipeline</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EPCPreprocessor class in src/data/preprocessor.py applies the following pipeline:</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Frame preparation and target outlier clipping at the 1st–99th percentile range to remove extreme values.</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Median imputation for numeric features (floor_area, storey_count) and most-frequent imputation for categorical fields.</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One-hot encoding for categoricals: property type, building environment, main fuel, heating type, air conditioning presence, and source city.</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Standard scaling (StandardScaler) of numeric columns, fitted on training data only to prevent test-set contamination.</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80/20 stratified train–test split, with the preprocessor fitted on training rows and applied to test rows.</w:t>
      </w:r>
    </w:p>
    <w:p>
      <w:pPr>
        <w:spacing w:after="60" w:before="0"/>
      </w:pP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fitted ColumnTransformer is persisted to data/processed/preprocessor.joblib, ensuring identical transformations for centralised training, federated client partitions, and inference in the Streamlit prototype.</w:t>
      </w:r>
    </w:p>
    <w:p>
      <w:pPr>
        <w:pStyle w:val="Heading2"/>
        <w:spacing w:after="120" w:before="280"/>
      </w:pPr>
      <w:r>
        <w:rPr>
          <w:rFonts w:ascii="Times New Roman" w:cs="Times New Roman" w:eastAsia="Times New Roman" w:hAnsi="Times New Roman"/>
          <w:b/>
          <w:bCs/>
          <w:color w:val="1F3864"/>
          <w:sz w:val="26"/>
          <w:szCs w:val="26"/>
        </w:rPr>
        <w:t xml:space="preserve">3.5 Federated Partitioning</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To simulate realistic FL conditions, the filtered corpus is partitioned geographically by source_city, creating three non-IID client datasets. London, Manchester, and Birmingham are chosen to represent the three largest English metropolitan regions, each with distinct building stock vintage and typology profiles. The partitioning creates sample-size imbalance (London: 3,449; Manchester: 1,160; Birmingham: 1,054) reflecting real-world data heterogeneity. Client means differ mildly (234–243 kWh/m²/year), indicating mild label skew. FedAvg weights client updates proportionally to local sample size, giving London greater influence on the global model.</w:t>
      </w:r>
    </w:p>
    <w:p>
      <w:pPr>
        <w:pStyle w:val="Heading2"/>
        <w:spacing w:after="120" w:before="280"/>
      </w:pPr>
      <w:r>
        <w:rPr>
          <w:rFonts w:ascii="Times New Roman" w:cs="Times New Roman" w:eastAsia="Times New Roman" w:hAnsi="Times New Roman"/>
          <w:b/>
          <w:bCs/>
          <w:color w:val="1F3864"/>
          <w:sz w:val="26"/>
          <w:szCs w:val="26"/>
        </w:rPr>
        <w:t xml:space="preserve">3.6 Centralised Baseline Models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Five regression models are implemented in src/models/centralised_models.py as centralised baselines: Random Forest Regressor (200 estimators), Gradient Boosting (sklearn), XGBoost (lightly tuned), LightGBM (single-threaded for macOS stability), and MLPRegressor (128–64 hidden units, early stopping). Evaluation metrics are RMSE, MAE, R², and MAPE on the 20% held-out test set. The best-performing model by RMSE is designated for primary SHAP comparison.</w:t>
      </w:r>
    </w:p>
    <w:p>
      <w:pPr>
        <w:pStyle w:val="Heading2"/>
        <w:spacing w:after="120" w:before="280"/>
      </w:pPr>
      <w:r>
        <w:rPr>
          <w:rFonts w:ascii="Times New Roman" w:cs="Times New Roman" w:eastAsia="Times New Roman" w:hAnsi="Times New Roman"/>
          <w:b/>
          <w:bCs/>
          <w:color w:val="1F3864"/>
          <w:sz w:val="26"/>
          <w:szCs w:val="26"/>
        </w:rPr>
        <w:t xml:space="preserve">3.7 Federated Learning Protocol</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An energy MLP (EnergyMLP in src/federated/fl_client.py) is trained with an in-process FedAvg simulator for eight rounds and four local epochs per round, using Adam optimiser and MSE loss. Client updates are averaged with weights proportional to local sample sizes. The in-process simulator is chosen for reproducibility on a single machine, avoiding network complexity whilst correctly implementing the FedAvg aggregation logic. FedProx (Li et al., 2020) with μ = 0.01 is also implemented and convergence results are documented. The Flower framework (Beutel et al., 2020) provides the client–server abstractions.</w:t>
      </w:r>
    </w:p>
    <w:p>
      <w:pPr>
        <w:pStyle w:val="Heading2"/>
        <w:spacing w:after="120" w:before="280"/>
      </w:pPr>
      <w:r>
        <w:rPr>
          <w:rFonts w:ascii="Times New Roman" w:cs="Times New Roman" w:eastAsia="Times New Roman" w:hAnsi="Times New Roman"/>
          <w:b/>
          <w:bCs/>
          <w:color w:val="1F3864"/>
          <w:sz w:val="26"/>
          <w:szCs w:val="26"/>
        </w:rPr>
        <w:t xml:space="preserve">3.8 Explainability Protocol</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On a shared subsample (background ≈ 80 training rows; explain ≈ 60 test rows), SHAP KernelExplainer is applied to both the best centralised model and the federated MLP. Using the same explainer family on both models reduces confounding from explainer choice and enables a fair comparison of mean absolute SHAP value profiles. LIME tabular explanations are generated for three representative test instances per model. Explanation stability is quantified as: Separately, Hypothesis H3 is tested by applying the centralised Gradient Boosting model to each city client matrix and computing TreeExplainer mean |SHAP| rankings per client, then measuring pairwise Jaccard overlap of the top-5 feature sets (scripts/run_h3_per_client_shap.py).</w:t>
      </w:r>
    </w:p>
    <w:p>
      <w:pPr>
        <w:spacing w:after="60" w:before="0"/>
      </w:pPr>
    </w:p>
    <w:p>
      <w:pPr>
        <w:spacing w:after="100" w:before="0" w:line="360" w:lineRule="auto"/>
        <w:jc w:val="both"/>
      </w:pPr>
      <w:r>
        <w:rPr>
          <w:rFonts w:ascii="Times New Roman" w:cs="Times New Roman" w:eastAsia="Times New Roman" w:hAnsi="Times New Roman"/>
          <w:b/>
          <w:bCs/>
          <w:caps w:val="false"/>
          <w:color w:val="000000"/>
          <w:sz w:val="24"/>
          <w:szCs w:val="24"/>
        </w:rPr>
        <w:t xml:space="preserve">Spearman Rank Correlation (ρ):</w:t>
      </w:r>
      <w:r>
        <w:rPr>
          <w:rFonts w:ascii="Times New Roman" w:cs="Times New Roman" w:eastAsia="Times New Roman" w:hAnsi="Times New Roman"/>
          <w:b w:val="false"/>
          <w:bCs w:val="false"/>
          <w:caps w:val="false"/>
          <w:color w:val="000000"/>
          <w:sz w:val="24"/>
          <w:szCs w:val="24"/>
        </w:rPr>
        <w:t xml:space="preserve"> Correlation between ranked mean |SHAP| profiles of centralised and federated models. Target: ρ &gt; 0.85. A high ρ indicates feature importance rankings are similarly ordered across training regimes.</w:t>
      </w:r>
    </w:p>
    <w:p>
      <w:pPr>
        <w:pStyle w:val="Heading2"/>
        <w:spacing w:after="120" w:before="280"/>
      </w:pPr>
      <w:r>
        <w:rPr>
          <w:rFonts w:ascii="Times New Roman" w:cs="Times New Roman" w:eastAsia="Times New Roman" w:hAnsi="Times New Roman"/>
          <w:b/>
          <w:bCs/>
          <w:color w:val="1F3864"/>
          <w:sz w:val="26"/>
          <w:szCs w:val="26"/>
        </w:rPr>
        <w:t xml:space="preserve">3.9 Statistical Testing</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Paired Wilcoxon signed-rank test and paired t-test compare absolute errors of the best centralised model versus the federated MLP on the identical test set. These tests assess whether the accuracy difference is statistically significant beyond random variation (src/evaluation/metrics.py). Effect size (Cohen's d) is also computed to complement p-values. Additionally, bootstrap percentile 95% confidence intervals (2,000 resamples) are computed for RMSE of both models to assess whether the accuracy gap is robust relative to sampling variability (scripts/run_bootstrap_ci.py).</w:t>
      </w:r>
    </w:p>
    <w:p>
      <w:pPr>
        <w:pStyle w:val="Heading2"/>
        <w:spacing w:after="120" w:before="280"/>
      </w:pPr>
      <w:r>
        <w:rPr>
          <w:rFonts w:ascii="Times New Roman" w:cs="Times New Roman" w:eastAsia="Times New Roman" w:hAnsi="Times New Roman"/>
          <w:b/>
          <w:bCs/>
          <w:color w:val="1F3864"/>
          <w:sz w:val="26"/>
          <w:szCs w:val="26"/>
        </w:rPr>
        <w:t xml:space="preserve">3.10 Ethical Considerations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Only open EPC certificate fields and OSM building tags were used in this research. No attempts were made to re-identify individuals beyond data already published under OGL. The modelling corpus excludes full address strings and UPRNs from model features. The Streamlit prototype does not display individual property records. Ethical approval was submitted to the University of Hull Faculty ethics process; this research falls in the low-risk category of secondary open data analysis with no personal information about identifiable individuals. Full ethics documentation is provided in Appendix C.</w:t>
      </w:r>
    </w:p>
    <w:p>
      <w:r>
        <w:br w:type="page"/>
      </w:r>
    </w:p>
    <w:p>
      <w:pPr>
        <w:pStyle w:val="Heading1"/>
        <w:spacing w:after="200" w:before="400"/>
      </w:pPr>
      <w:r>
        <w:rPr>
          <w:rFonts w:ascii="Times New Roman" w:cs="Times New Roman" w:eastAsia="Times New Roman" w:hAnsi="Times New Roman"/>
          <w:b/>
          <w:bCs/>
          <w:caps/>
          <w:color w:val="1F3864"/>
          <w:sz w:val="32"/>
          <w:szCs w:val="32"/>
        </w:rPr>
        <w:t xml:space="preserve">Chapter 4 — Results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All numeric results correspond to pipeline artefacts in results/tables/ and results/figures/ from the final successful run. All code, scripts, and result files are available in the project repository.</w:t>
      </w:r>
    </w:p>
    <w:p>
      <w:pPr>
        <w:pStyle w:val="Heading2"/>
        <w:spacing w:after="120" w:before="280"/>
      </w:pPr>
      <w:r>
        <w:rPr>
          <w:rFonts w:ascii="Times New Roman" w:cs="Times New Roman" w:eastAsia="Times New Roman" w:hAnsi="Times New Roman"/>
          <w:b/>
          <w:bCs/>
          <w:color w:val="1F3864"/>
          <w:sz w:val="26"/>
          <w:szCs w:val="26"/>
        </w:rPr>
        <w:t xml:space="preserve">4.1 Dataset Construction Outcomes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Chunked scanning processed 13,794,680 domestic and 840,760 non-domestic certificate rows spanning 2018–2026. After applying high-rise and geography filters, 5,663 records remained — a sparse signal from the large raw corpus that is itself informative about bulk EPC storey field quality (see Section 5.3 for discussion). Table 4.1 summarises the dataset composition.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Federated Client</w:t>
            </w:r>
          </w:p>
        </w:tc>
        <w:tc>
          <w:tcPr>
            <w:tcW w:type="dxa" w:w="20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Records (n)</w:t>
            </w:r>
          </w:p>
        </w:tc>
        <w:tc>
          <w:tcPr>
            <w:tcW w:type="dxa" w:w="20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Mean Energy (kWh/m²/yr)</w:t>
            </w:r>
          </w:p>
        </w:tc>
        <w:tc>
          <w:tcPr>
            <w:tcW w:type="dxa" w:w="286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Typology Mix</w:t>
            </w:r>
          </w:p>
        </w:tc>
      </w:tr>
      <w:tr>
        <w:tc>
          <w:tcPr>
            <w:tcW w:type="dxa" w:w="25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London</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3,449</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234.0</w:t>
            </w:r>
          </w:p>
        </w:tc>
        <w:tc>
          <w:tcPr>
            <w:tcW w:type="dxa" w:w="2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Commercial 99.4%, Residential 0.6%</w:t>
            </w:r>
          </w:p>
        </w:tc>
      </w:tr>
      <w:tr>
        <w:tc>
          <w:tcPr>
            <w:tcW w:type="dxa" w:w="25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Manchester</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1,160</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242.1</w:t>
            </w:r>
          </w:p>
        </w:tc>
        <w:tc>
          <w:tcPr>
            <w:tcW w:type="dxa" w:w="2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Commercial 99.4%, Residential 0.6%</w:t>
            </w:r>
          </w:p>
        </w:tc>
      </w:tr>
      <w:tr>
        <w:tc>
          <w:tcPr>
            <w:tcW w:type="dxa" w:w="25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Birmingham</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1,054</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243.1</w:t>
            </w:r>
          </w:p>
        </w:tc>
        <w:tc>
          <w:tcPr>
            <w:tcW w:type="dxa" w:w="2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Commercial 99.3%, Residential 0.7%</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Combined</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5,663</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237.4 (σ=194.7)</w:t>
            </w:r>
          </w:p>
        </w:tc>
        <w:tc>
          <w:tcPr>
            <w:tcW w:type="dxa" w:w="2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Commercial 99.4%, Residential 0.6%</w:t>
            </w:r>
          </w:p>
        </w:tc>
      </w:tr>
    </w:tbl>
    <w:p>
      <w:pPr>
        <w:spacing w:after="200" w:before="60"/>
        <w:jc w:val="center"/>
      </w:pPr>
      <w:r>
        <w:rPr>
          <w:rFonts w:ascii="Times New Roman" w:cs="Times New Roman" w:eastAsia="Times New Roman" w:hAnsi="Times New Roman"/>
          <w:b w:val="false"/>
          <w:bCs w:val="false"/>
          <w:caps w:val="false"/>
          <w:color w:val="000000"/>
          <w:sz w:val="20"/>
          <w:szCs w:val="20"/>
        </w:rPr>
        <w:t xml:space="preserve">Table 4.1: Dataset partition statistics after high-rise and geographic filtering</w:t>
      </w:r>
    </w:p>
    <w:p>
      <w:pPr>
        <w:spacing w:after="100" w:before="0"/>
      </w:pP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Preprocessing yielded 4,439 training and 1,110 test samples with 87 one-hot-expanded features after encoding. The 99.4% commercial composition reflects the sparsity of domestic storey metadata in bulk EPC exports — a key finding discussed in Chapter 5.</w:t>
      </w:r>
    </w:p>
    <w:p/>
    <w:p>
      <w:pPr>
        <w:jc w:val="center"/>
      </w:pPr>
      <w:r>
        <w:drawing>
          <wp:inline xmlns:a="http://schemas.openxmlformats.org/drawingml/2006/main" xmlns:pic="http://schemas.openxmlformats.org/drawingml/2006/picture">
            <wp:extent cx="4320000" cy="2160000"/>
            <wp:docPr id="2" name="Picture 2"/>
            <wp:cNvGraphicFramePr>
              <a:graphicFrameLocks noChangeAspect="1"/>
            </wp:cNvGraphicFramePr>
            <a:graphic>
              <a:graphicData uri="http://schemas.openxmlformats.org/drawingml/2006/picture">
                <pic:pic>
                  <pic:nvPicPr>
                    <pic:cNvPr id="0" name="eda_target_hist.png"/>
                    <pic:cNvPicPr/>
                  </pic:nvPicPr>
                  <pic:blipFill>
                    <a:blip r:embed="rId12"/>
                    <a:stretch>
                      <a:fillRect/>
                    </a:stretch>
                  </pic:blipFill>
                  <pic:spPr>
                    <a:xfrm>
                      <a:off x="0" y="0"/>
                      <a:ext cx="4320000" cy="2160000"/>
                    </a:xfrm>
                    <a:prstGeom prst="rect"/>
                  </pic:spPr>
                </pic:pic>
              </a:graphicData>
            </a:graphic>
          </wp:inline>
        </w:drawing>
      </w:r>
    </w:p>
    <w:p>
      <w:pPr>
        <w:pStyle w:val="Caption"/>
        <w:jc w:val="center"/>
      </w:pPr>
      <w:r>
        <w:rPr>
          <w:rFonts w:ascii="Times New Roman" w:hAnsi="Times New Roman" w:eastAsia="Times New Roman"/>
          <w:b w:val="0"/>
          <w:i/>
          <w:sz w:val="20"/>
        </w:rPr>
        <w:t>Figure 4.1: Distribution of primary energy use intensity (kWh/m²/year) after high-rise and geography filtering. The target is right-skewed, motivating robust metrics and residual inspection.</w:t>
      </w:r>
    </w:p>
    <w:p/>
    <w:p>
      <w:pPr>
        <w:jc w:val="center"/>
      </w:pPr>
      <w:r>
        <w:drawing>
          <wp:inline xmlns:a="http://schemas.openxmlformats.org/drawingml/2006/main" xmlns:pic="http://schemas.openxmlformats.org/drawingml/2006/picture">
            <wp:extent cx="4320000" cy="2880000"/>
            <wp:docPr id="3" name="Picture 3"/>
            <wp:cNvGraphicFramePr>
              <a:graphicFrameLocks noChangeAspect="1"/>
            </wp:cNvGraphicFramePr>
            <a:graphic>
              <a:graphicData uri="http://schemas.openxmlformats.org/drawingml/2006/picture">
                <pic:pic>
                  <pic:nvPicPr>
                    <pic:cNvPr id="0" name="eda_city_counts.png"/>
                    <pic:cNvPicPr/>
                  </pic:nvPicPr>
                  <pic:blipFill>
                    <a:blip r:embed="rId13"/>
                    <a:stretch>
                      <a:fillRect/>
                    </a:stretch>
                  </pic:blipFill>
                  <pic:spPr>
                    <a:xfrm>
                      <a:off x="0" y="0"/>
                      <a:ext cx="4320000" cy="2880000"/>
                    </a:xfrm>
                    <a:prstGeom prst="rect"/>
                  </pic:spPr>
                </pic:pic>
              </a:graphicData>
            </a:graphic>
          </wp:inline>
        </w:drawing>
      </w:r>
    </w:p>
    <w:p>
      <w:pPr>
        <w:pStyle w:val="Caption"/>
        <w:jc w:val="center"/>
      </w:pPr>
      <w:r>
        <w:rPr>
          <w:rFonts w:ascii="Times New Roman" w:hAnsi="Times New Roman" w:eastAsia="Times New Roman"/>
          <w:b w:val="0"/>
          <w:i/>
          <w:sz w:val="20"/>
        </w:rPr>
        <w:t>Figure 4.2: Sample counts by client city. London dominates the federated partition sizes, creating mild quantity skew across clients.</w:t>
      </w:r>
    </w:p>
    <w:p/>
    <w:p>
      <w:pPr>
        <w:jc w:val="center"/>
      </w:pPr>
      <w:r>
        <w:drawing>
          <wp:inline xmlns:a="http://schemas.openxmlformats.org/drawingml/2006/main" xmlns:pic="http://schemas.openxmlformats.org/drawingml/2006/picture">
            <wp:extent cx="4320000" cy="2468571"/>
            <wp:docPr id="4" name="Picture 4"/>
            <wp:cNvGraphicFramePr>
              <a:graphicFrameLocks noChangeAspect="1"/>
            </wp:cNvGraphicFramePr>
            <a:graphic>
              <a:graphicData uri="http://schemas.openxmlformats.org/drawingml/2006/picture">
                <pic:pic>
                  <pic:nvPicPr>
                    <pic:cNvPr id="0" name="eda_energy_by_city.png"/>
                    <pic:cNvPicPr/>
                  </pic:nvPicPr>
                  <pic:blipFill>
                    <a:blip r:embed="rId14"/>
                    <a:stretch>
                      <a:fillRect/>
                    </a:stretch>
                  </pic:blipFill>
                  <pic:spPr>
                    <a:xfrm>
                      <a:off x="0" y="0"/>
                      <a:ext cx="4320000" cy="2468571"/>
                    </a:xfrm>
                    <a:prstGeom prst="rect"/>
                  </pic:spPr>
                </pic:pic>
              </a:graphicData>
            </a:graphic>
          </wp:inline>
        </w:drawing>
      </w:r>
    </w:p>
    <w:p>
      <w:pPr>
        <w:pStyle w:val="Caption"/>
        <w:jc w:val="center"/>
      </w:pPr>
      <w:r>
        <w:rPr>
          <w:rFonts w:ascii="Times New Roman" w:hAnsi="Times New Roman" w:eastAsia="Times New Roman"/>
          <w:b w:val="0"/>
          <w:i/>
          <w:sz w:val="20"/>
        </w:rPr>
        <w:t>Figure 4.3: Energy distribution by client city (boxplot, non-IID check). Median intensities are broadly similar across London, Manchester, and Birmingham, though outlier profiles differ by city. This mild label heterogeneity validates the geographic partition as a realistic but not adversarial FL testbed.</w:t>
      </w:r>
    </w:p>
    <w:p/>
    <w:p>
      <w:pPr>
        <w:jc w:val="center"/>
      </w:pPr>
      <w:r>
        <w:drawing>
          <wp:inline xmlns:a="http://schemas.openxmlformats.org/drawingml/2006/main" xmlns:pic="http://schemas.openxmlformats.org/drawingml/2006/picture">
            <wp:extent cx="4320000" cy="2468571"/>
            <wp:docPr id="5" name="Picture 5"/>
            <wp:cNvGraphicFramePr>
              <a:graphicFrameLocks noChangeAspect="1"/>
            </wp:cNvGraphicFramePr>
            <a:graphic>
              <a:graphicData uri="http://schemas.openxmlformats.org/drawingml/2006/picture">
                <pic:pic>
                  <pic:nvPicPr>
                    <pic:cNvPr id="0" name="eda_area_vs_energy.png"/>
                    <pic:cNvPicPr/>
                  </pic:nvPicPr>
                  <pic:blipFill>
                    <a:blip r:embed="rId15"/>
                    <a:stretch>
                      <a:fillRect/>
                    </a:stretch>
                  </pic:blipFill>
                  <pic:spPr>
                    <a:xfrm>
                      <a:off x="0" y="0"/>
                      <a:ext cx="4320000" cy="2468571"/>
                    </a:xfrm>
                    <a:prstGeom prst="rect"/>
                  </pic:spPr>
                </pic:pic>
              </a:graphicData>
            </a:graphic>
          </wp:inline>
        </w:drawing>
      </w:r>
    </w:p>
    <w:p>
      <w:pPr>
        <w:pStyle w:val="Caption"/>
        <w:jc w:val="center"/>
      </w:pPr>
      <w:r>
        <w:rPr>
          <w:rFonts w:ascii="Times New Roman" w:hAnsi="Times New Roman" w:eastAsia="Times New Roman"/>
          <w:b w:val="0"/>
          <w:i/>
          <w:sz w:val="20"/>
        </w:rPr>
        <w:t>Figure 4.4: Floor area versus primary energy intensity. The scatter illustrates cross-sectional variability remaining after fabric and typology encoding.</w:t>
      </w:r>
    </w:p>
    <w:p/>
    <w:p>
      <w:pPr>
        <w:pStyle w:val="Heading2"/>
        <w:spacing w:after="120" w:before="280"/>
      </w:pPr>
      <w:r>
        <w:rPr>
          <w:rFonts w:ascii="Times New Roman" w:cs="Times New Roman" w:eastAsia="Times New Roman" w:hAnsi="Times New Roman"/>
          <w:b/>
          <w:bCs/>
          <w:color w:val="1F3864"/>
          <w:sz w:val="26"/>
          <w:szCs w:val="26"/>
        </w:rPr>
        <w:t xml:space="preserve">4.2 Centralised Baseline Performance (RQ1 — Centralised Context)</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Table 4.2 reports predictive performance of all centralised models on the 20% held-out test set. Gradient Boosting achieves the lowest RMSE (113.04) and highest R² (0.559), establishing it as the primary centralised comparator.</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Model</w:t>
            </w:r>
          </w:p>
        </w:tc>
        <w:tc>
          <w:tcPr>
            <w:tcW w:type="dxa" w:w="164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RMSE ↓</w:t>
            </w:r>
          </w:p>
        </w:tc>
        <w:tc>
          <w:tcPr>
            <w:tcW w:type="dxa" w:w="164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MAE ↓</w:t>
            </w:r>
          </w:p>
        </w:tc>
        <w:tc>
          <w:tcPr>
            <w:tcW w:type="dxa" w:w="164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R² ↑</w:t>
            </w:r>
          </w:p>
        </w:tc>
        <w:tc>
          <w:tcPr>
            <w:tcW w:type="dxa" w:w="164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MAPE (%) ↓</w:t>
            </w:r>
          </w:p>
        </w:tc>
      </w:tr>
      <w:tr>
        <w:tc>
          <w:tcPr>
            <w:tcW w:type="dxa" w:w="2800"/>
            <w:tcBorders>
              <w:top w:val="single" w:color="000000" w:sz="6"/>
              <w:left w:val="single" w:color="000000" w:sz="6"/>
              <w:bottom w:val="single" w:color="000000" w:sz="6"/>
              <w:right w:val="single" w:color="000000" w:sz="6"/>
            </w:tcBorders>
            <w:shd w:fill="D9EAD3"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Gradient Boosting ★</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113.04</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80.02</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0.559</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47.30</w:t>
            </w:r>
          </w:p>
        </w:tc>
      </w:tr>
      <w:tr>
        <w:tc>
          <w:tcPr>
            <w:tcW w:type="dxa" w:w="2800"/>
            <w:tcBorders>
              <w:top w:val="single" w:color="000000" w:sz="6"/>
              <w:left w:val="single" w:color="000000" w:sz="6"/>
              <w:bottom w:val="single" w:color="000000" w:sz="6"/>
              <w:right w:val="single" w:color="000000" w:sz="6"/>
            </w:tcBorders>
            <w:shd w:fill="FFF2CC"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MLP (Centralised)</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117.04</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83.56</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0.528</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46.76</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XGBoost</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117.36</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80.95</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0.525</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46.46</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Random Forest</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117.75</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82.66</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0.522</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47.30</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LightGBM</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120.12</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84.13</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0.503</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47.79</w:t>
            </w:r>
          </w:p>
        </w:tc>
      </w:tr>
    </w:tbl>
    <w:p>
      <w:pPr>
        <w:spacing w:after="200" w:before="60"/>
        <w:jc w:val="center"/>
      </w:pPr>
      <w:r>
        <w:rPr>
          <w:rFonts w:ascii="Times New Roman" w:cs="Times New Roman" w:eastAsia="Times New Roman" w:hAnsi="Times New Roman"/>
          <w:b w:val="false"/>
          <w:bCs w:val="false"/>
          <w:caps w:val="false"/>
          <w:color w:val="000000"/>
          <w:sz w:val="20"/>
          <w:szCs w:val="20"/>
        </w:rPr>
        <w:t xml:space="preserve">Table 4.2: Centralised baseline model performance on the 20% held-out test set. ★ = best centralised model by RMSE. ↓ = lower is better; ↑ = higher is better.</w:t>
      </w:r>
    </w:p>
    <w:p>
      <w:pPr>
        <w:spacing w:after="100" w:before="0"/>
      </w:pP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moderate R² values (0.503–0.559) are expected for cross-sectional EPC primary energy prediction without emissions leakage features, occupancy data, or weather normalisation. Early experiments including CO₂ and asset rating fields produced R² &gt; 0.95, confirming target leakage; those features were removed. All evaluation figures shown in this chapter use the held-out 20% test split only; training-set residual plots are excluded to avoid conflating training and generalisation performance.</w:t>
      </w:r>
    </w:p>
    <w:p/>
    <w:p>
      <w:pPr>
        <w:jc w:val="center"/>
      </w:pPr>
      <w:r>
        <w:drawing>
          <wp:inline xmlns:a="http://schemas.openxmlformats.org/drawingml/2006/main" xmlns:pic="http://schemas.openxmlformats.org/drawingml/2006/picture">
            <wp:extent cx="4320000" cy="2700000"/>
            <wp:docPr id="6" name="Picture 6"/>
            <wp:cNvGraphicFramePr>
              <a:graphicFrameLocks noChangeAspect="1"/>
            </wp:cNvGraphicFramePr>
            <a:graphic>
              <a:graphicData uri="http://schemas.openxmlformats.org/drawingml/2006/picture">
                <pic:pic>
                  <pic:nvPicPr>
                    <pic:cNvPr id="0" name="baseline_rmse.png"/>
                    <pic:cNvPicPr/>
                  </pic:nvPicPr>
                  <pic:blipFill>
                    <a:blip r:embed="rId16"/>
                    <a:stretch>
                      <a:fillRect/>
                    </a:stretch>
                  </pic:blipFill>
                  <pic:spPr>
                    <a:xfrm>
                      <a:off x="0" y="0"/>
                      <a:ext cx="4320000" cy="2700000"/>
                    </a:xfrm>
                    <a:prstGeom prst="rect"/>
                  </pic:spPr>
                </pic:pic>
              </a:graphicData>
            </a:graphic>
          </wp:inline>
        </w:drawing>
      </w:r>
    </w:p>
    <w:p>
      <w:pPr>
        <w:pStyle w:val="Caption"/>
        <w:jc w:val="center"/>
      </w:pPr>
      <w:r>
        <w:rPr>
          <w:rFonts w:ascii="Times New Roman" w:hAnsi="Times New Roman" w:eastAsia="Times New Roman"/>
          <w:b w:val="0"/>
          <w:i/>
          <w:sz w:val="20"/>
        </w:rPr>
        <w:t>Figure 4.5: Centralised baseline RMSE comparison. Gradient Boosting achieves the lowest test RMSE among the evaluated models.</w:t>
      </w:r>
    </w:p>
    <w:p/>
    <w:p>
      <w:pPr>
        <w:jc w:val="center"/>
      </w:pPr>
      <w:r>
        <w:drawing>
          <wp:inline xmlns:a="http://schemas.openxmlformats.org/drawingml/2006/main" xmlns:pic="http://schemas.openxmlformats.org/drawingml/2006/picture">
            <wp:extent cx="4320000" cy="2700000"/>
            <wp:docPr id="7" name="Picture 7"/>
            <wp:cNvGraphicFramePr>
              <a:graphicFrameLocks noChangeAspect="1"/>
            </wp:cNvGraphicFramePr>
            <a:graphic>
              <a:graphicData uri="http://schemas.openxmlformats.org/drawingml/2006/picture">
                <pic:pic>
                  <pic:nvPicPr>
                    <pic:cNvPr id="0" name="baseline_r2.png"/>
                    <pic:cNvPicPr/>
                  </pic:nvPicPr>
                  <pic:blipFill>
                    <a:blip r:embed="rId17"/>
                    <a:stretch>
                      <a:fillRect/>
                    </a:stretch>
                  </pic:blipFill>
                  <pic:spPr>
                    <a:xfrm>
                      <a:off x="0" y="0"/>
                      <a:ext cx="4320000" cy="2700000"/>
                    </a:xfrm>
                    <a:prstGeom prst="rect"/>
                  </pic:spPr>
                </pic:pic>
              </a:graphicData>
            </a:graphic>
          </wp:inline>
        </w:drawing>
      </w:r>
    </w:p>
    <w:p>
      <w:pPr>
        <w:pStyle w:val="Caption"/>
        <w:jc w:val="center"/>
      </w:pPr>
      <w:r>
        <w:rPr>
          <w:rFonts w:ascii="Times New Roman" w:hAnsi="Times New Roman" w:eastAsia="Times New Roman"/>
          <w:b w:val="0"/>
          <w:i/>
          <w:sz w:val="20"/>
        </w:rPr>
        <w:t>Figure 4.6: Centralised baseline R² comparison. Absolute accuracy remains moderate (R² ≈ 0.50–0.56), consistent with cross-sectional EPC prediction without occupancy or weather features.</w:t>
      </w:r>
    </w:p>
    <w:p/>
    <w:p>
      <w:pPr>
        <w:jc w:val="center"/>
      </w:pPr>
      <w:r>
        <w:drawing>
          <wp:inline xmlns:a="http://schemas.openxmlformats.org/drawingml/2006/main" xmlns:pic="http://schemas.openxmlformats.org/drawingml/2006/picture">
            <wp:extent cx="4320000" cy="4320000"/>
            <wp:docPr id="8" name="Picture 8"/>
            <wp:cNvGraphicFramePr>
              <a:graphicFrameLocks noChangeAspect="1"/>
            </wp:cNvGraphicFramePr>
            <a:graphic>
              <a:graphicData uri="http://schemas.openxmlformats.org/drawingml/2006/picture">
                <pic:pic>
                  <pic:nvPicPr>
                    <pic:cNvPr id="0" name="pred_vs_actual_gradient_boosting.png"/>
                    <pic:cNvPicPr/>
                  </pic:nvPicPr>
                  <pic:blipFill>
                    <a:blip r:embed="rId18"/>
                    <a:stretch>
                      <a:fillRect/>
                    </a:stretch>
                  </pic:blipFill>
                  <pic:spPr>
                    <a:xfrm>
                      <a:off x="0" y="0"/>
                      <a:ext cx="4320000" cy="4320000"/>
                    </a:xfrm>
                    <a:prstGeom prst="rect"/>
                  </pic:spPr>
                </pic:pic>
              </a:graphicData>
            </a:graphic>
          </wp:inline>
        </w:drawing>
      </w:r>
    </w:p>
    <w:p>
      <w:pPr>
        <w:pStyle w:val="Caption"/>
        <w:jc w:val="center"/>
      </w:pPr>
      <w:r>
        <w:rPr>
          <w:rFonts w:ascii="Times New Roman" w:hAnsi="Times New Roman" w:eastAsia="Times New Roman"/>
          <w:b w:val="0"/>
          <w:i/>
          <w:sz w:val="20"/>
        </w:rPr>
        <w:t>Figure 4.7: Predicted versus actual primary energy intensity for the best centralised model (Gradient Boosting). Absolute errors increase at higher intensities.</w:t>
      </w:r>
    </w:p>
    <w:p>
      <w:pPr>
        <w:spacing w:after="80" w:before="0"/>
      </w:pPr>
    </w:p>
    <w:p>
      <w:pPr>
        <w:jc w:val="center"/>
      </w:pPr>
      <w:r>
        <w:drawing>
          <wp:inline xmlns:a="http://schemas.openxmlformats.org/drawingml/2006/main" xmlns:pic="http://schemas.openxmlformats.org/drawingml/2006/picture">
            <wp:extent cx="4320000" cy="4320000"/>
            <wp:docPr id="21" name="Picture 21"/>
            <wp:cNvGraphicFramePr>
              <a:graphicFrameLocks noChangeAspect="1"/>
            </wp:cNvGraphicFramePr>
            <a:graphic>
              <a:graphicData uri="http://schemas.openxmlformats.org/drawingml/2006/picture">
                <pic:pic>
                  <pic:nvPicPr>
                    <pic:cNvPr id="0" name="pred_vs_actual_mlp.png"/>
                    <pic:cNvPicPr/>
                  </pic:nvPicPr>
                  <pic:blipFill>
                    <a:blip r:embed="rId21"/>
                    <a:stretch>
                      <a:fillRect/>
                    </a:stretch>
                  </pic:blipFill>
                  <pic:spPr>
                    <a:xfrm>
                      <a:off x="0" y="0"/>
                      <a:ext cx="4320000" cy="4320000"/>
                    </a:xfrm>
                    <a:prstGeom prst="rect"/>
                  </pic:spPr>
                </pic:pic>
              </a:graphicData>
            </a:graphic>
          </wp:inline>
        </w:drawing>
      </w:r>
    </w:p>
    <w:p>
      <w:pPr>
        <w:pStyle w:val="Caption"/>
        <w:jc w:val="center"/>
      </w:pPr>
      <w:r>
        <w:rPr>
          <w:rFonts w:ascii="Times New Roman" w:hAnsi="Times New Roman" w:eastAsia="Times New Roman"/>
          <w:b w:val="0"/>
          <w:i/>
          <w:sz w:val="20"/>
        </w:rPr>
        <w:t>Figure 4.7b: Predicted versus actual primary energy intensity for the centralised MLP (held-out test set, R² = 0.528). The scatter pattern is consistent with the Gradient Boosting result, confirming both centralised models achieve similar predictive accuracy on this corpus. The MLP serves as the direct comparison baseline for the federated MLP in Section 4.3.</w:t>
      </w:r>
    </w:p>
    <w:p>
      <w:pPr>
        <w:spacing w:after="100" w:before="0"/>
      </w:pPr>
    </w:p>
    <w:p/>
    <w:p>
      <w:pPr>
        <w:pStyle w:val="Heading2"/>
        <w:spacing w:after="120" w:before="280"/>
      </w:pPr>
      <w:r>
        <w:rPr>
          <w:rFonts w:ascii="Times New Roman" w:cs="Times New Roman" w:eastAsia="Times New Roman" w:hAnsi="Times New Roman"/>
          <w:b/>
          <w:bCs/>
          <w:color w:val="1F3864"/>
          <w:sz w:val="26"/>
          <w:szCs w:val="26"/>
        </w:rPr>
        <w:t xml:space="preserve">4.3 Federated Averaging Performance (RQ1)</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Table 4.3 reports the FedAvg MLP convergence across eight training rounds. The model converges from a negative R² in round 1 (under-initialised global MLP) to R² = 0.518 by round 8 — closely matching the centralised MLP (R² = 0.528).</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560"/>
      </w:tblGrid>
      <w:tr>
        <w:tc>
          <w:tcPr>
            <w:tcW w:type="dxa" w:w="12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FL Round</w:t>
            </w:r>
          </w:p>
        </w:tc>
        <w:tc>
          <w:tcPr>
            <w:tcW w:type="dxa" w:w="28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Test RMSE</w:t>
            </w:r>
          </w:p>
        </w:tc>
        <w:tc>
          <w:tcPr>
            <w:tcW w:type="dxa" w:w="28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Test R²</w:t>
            </w:r>
          </w:p>
        </w:tc>
        <w:tc>
          <w:tcPr>
            <w:tcW w:type="dxa" w:w="256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Convergence Stage</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1</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201.51</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-0.400</w:t>
            </w:r>
          </w:p>
        </w:tc>
        <w:tc>
          <w:tcPr>
            <w:tcW w:type="dxa" w:w="2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Initialisation</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2</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142.47</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0.300</w:t>
            </w:r>
          </w:p>
        </w:tc>
        <w:tc>
          <w:tcPr>
            <w:tcW w:type="dxa" w:w="2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Rapid gain</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3</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128.19</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0.433</w:t>
            </w:r>
          </w:p>
        </w:tc>
        <w:tc>
          <w:tcPr>
            <w:tcW w:type="dxa" w:w="2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Rapid gain</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4</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121.67</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0.490</w:t>
            </w:r>
          </w:p>
        </w:tc>
        <w:tc>
          <w:tcPr>
            <w:tcW w:type="dxa" w:w="2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Stabilising</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5</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119.21</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0.510</w:t>
            </w:r>
          </w:p>
        </w:tc>
        <w:tc>
          <w:tcPr>
            <w:tcW w:type="dxa" w:w="2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Stabilising</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6</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118.57</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0.515</w:t>
            </w:r>
          </w:p>
        </w:tc>
        <w:tc>
          <w:tcPr>
            <w:tcW w:type="dxa" w:w="2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Converged</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7</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118.38</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0.517</w:t>
            </w:r>
          </w:p>
        </w:tc>
        <w:tc>
          <w:tcPr>
            <w:tcW w:type="dxa" w:w="2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Converged</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8</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118.21</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0.518</w:t>
            </w:r>
          </w:p>
        </w:tc>
        <w:tc>
          <w:tcPr>
            <w:tcW w:type="dxa" w:w="2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Final</w:t>
            </w:r>
          </w:p>
        </w:tc>
      </w:tr>
    </w:tbl>
    <w:p>
      <w:pPr>
        <w:spacing w:after="200" w:before="60"/>
        <w:jc w:val="center"/>
      </w:pPr>
      <w:r>
        <w:rPr>
          <w:rFonts w:ascii="Times New Roman" w:cs="Times New Roman" w:eastAsia="Times New Roman" w:hAnsi="Times New Roman"/>
          <w:b w:val="false"/>
          <w:bCs w:val="false"/>
          <w:caps w:val="false"/>
          <w:color w:val="000000"/>
          <w:sz w:val="20"/>
          <w:szCs w:val="20"/>
        </w:rPr>
        <w:t xml:space="preserve">Table 4.3: FedAvg MLP convergence across eight federated rounds</w:t>
      </w:r>
    </w:p>
    <w:p>
      <w:pPr>
        <w:spacing w:after="100" w:before="0"/>
      </w:pPr>
    </w:p>
    <w:p>
      <w:pPr>
        <w:spacing w:after="160" w:before="0" w:line="360" w:lineRule="auto"/>
        <w:jc w:val="both"/>
      </w:pPr>
      <w:r>
        <w:rPr>
          <w:rFonts w:ascii="Times New Roman" w:cs="Times New Roman" w:eastAsia="Times New Roman" w:hAnsi="Times New Roman"/>
          <w:b w:val="false"/>
          <w:bCs w:val="false"/>
          <w:caps w:val="false"/>
          <w:color w:val="000000"/>
          <w:sz w:val="24"/>
          <w:szCs w:val="24"/>
        </w:rPr>
        <w:t>Final federated metrics: RMSE = 118.21, MAE = 84.81, R² = 0.518, MAPE = 49.45%. The federated MLP nearly matches the centralised MLP (R² 0.528) and trails the best tree model (Gradient Boosting, R² 0.559) by a modest margin. Answer to RQ1: Yes — FedAvg can approach centralised neural performance on this geographic split without pooling raw client data during training.</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FedProx (Li et al., 2020) with proximal regularisation term μ = 0.01 was also evaluated. As visible in Figure 4.8, FedProx converges slightly faster than FedAvg in rounds 2–4, reflecting its proximal term moderating client drift under the mild geographic label heterogeneity. By round 6 both strategies reach equivalent test RMSE (approximately 119), and final round 8 performance is effectively identical. This convergence parity under mild non-IID conditions is expected: FedProx advantage is most pronounced under strong distributional skew, which the three-city partition does not fully exhibit. The result nonetheless confirms that FedProx offers a practically zero-cost robustness mechanism for the EPC federated setting.</w:t>
      </w:r>
    </w:p>
    <w:p/>
    <w:p>
      <w:pPr>
        <w:jc w:val="center"/>
      </w:pPr>
      <w:r>
        <w:drawing>
          <wp:inline xmlns:a="http://schemas.openxmlformats.org/drawingml/2006/main" xmlns:pic="http://schemas.openxmlformats.org/drawingml/2006/picture">
            <wp:extent cx="4680000" cy="2632500"/>
            <wp:docPr id="9" name="Picture 9"/>
            <wp:cNvGraphicFramePr>
              <a:graphicFrameLocks noChangeAspect="1"/>
            </wp:cNvGraphicFramePr>
            <a:graphic>
              <a:graphicData uri="http://schemas.openxmlformats.org/drawingml/2006/picture">
                <pic:pic>
                  <pic:nvPicPr>
                    <pic:cNvPr id="0" name="federated_convergence.png"/>
                    <pic:cNvPicPr/>
                  </pic:nvPicPr>
                  <pic:blipFill>
                    <a:blip r:embed="rId19"/>
                    <a:stretch>
                      <a:fillRect/>
                    </a:stretch>
                  </pic:blipFill>
                  <pic:spPr>
                    <a:xfrm>
                      <a:off x="0" y="0"/>
                      <a:ext cx="4680000" cy="2632500"/>
                    </a:xfrm>
                    <a:prstGeom prst="rect"/>
                  </pic:spPr>
                </pic:pic>
              </a:graphicData>
            </a:graphic>
          </wp:inline>
        </w:drawing>
      </w:r>
    </w:p>
    <w:p>
      <w:pPr>
        <w:pStyle w:val="Caption"/>
        <w:jc w:val="center"/>
      </w:pPr>
      <w:r>
        <w:rPr>
          <w:rFonts w:ascii="Times New Roman" w:hAnsi="Times New Roman" w:eastAsia="Times New Roman"/>
          <w:b w:val="0"/>
          <w:i/>
          <w:sz w:val="20"/>
        </w:rPr>
        <w:t>Figure 4.8: Federated learning convergence — FedAvg vs FedProx (μ = 0.01). Both strategies converge to equivalent final RMSE (~118) after eight rounds. FedProx converges marginally faster in rounds 2–4, consistent with its proximal regularisation reducing early client drift under the geographic non-IID partition.</w:t>
      </w:r>
    </w:p>
    <w:p/>
    <w:p>
      <w:pPr>
        <w:jc w:val="center"/>
      </w:pPr>
      <w:r>
        <w:drawing>
          <wp:inline xmlns:a="http://schemas.openxmlformats.org/drawingml/2006/main" xmlns:pic="http://schemas.openxmlformats.org/drawingml/2006/picture">
            <wp:extent cx="4320000" cy="4320000"/>
            <wp:docPr id="10" name="Picture 10"/>
            <wp:cNvGraphicFramePr>
              <a:graphicFrameLocks noChangeAspect="1"/>
            </wp:cNvGraphicFramePr>
            <a:graphic>
              <a:graphicData uri="http://schemas.openxmlformats.org/drawingml/2006/picture">
                <pic:pic>
                  <pic:nvPicPr>
                    <pic:cNvPr id="0" name="pred_vs_actual_federated.png"/>
                    <pic:cNvPicPr/>
                  </pic:nvPicPr>
                  <pic:blipFill>
                    <a:blip r:embed="rId20"/>
                    <a:stretch>
                      <a:fillRect/>
                    </a:stretch>
                  </pic:blipFill>
                  <pic:spPr>
                    <a:xfrm>
                      <a:off x="0" y="0"/>
                      <a:ext cx="4320000" cy="4320000"/>
                    </a:xfrm>
                    <a:prstGeom prst="rect"/>
                  </pic:spPr>
                </pic:pic>
              </a:graphicData>
            </a:graphic>
          </wp:inline>
        </w:drawing>
      </w:r>
    </w:p>
    <w:p>
      <w:pPr>
        <w:pStyle w:val="Caption"/>
        <w:jc w:val="center"/>
      </w:pPr>
      <w:r>
        <w:rPr>
          <w:rFonts w:ascii="Times New Roman" w:hAnsi="Times New Roman" w:eastAsia="Times New Roman"/>
          <w:b w:val="0"/>
          <w:i/>
          <w:sz w:val="20"/>
        </w:rPr>
        <w:t>Figure 4.9: Predicted versus actual primary energy intensity for the federated MLP. Residual magnitude pattern is similar to the centralised tree model, with slightly higher MAE.</w:t>
      </w:r>
    </w:p>
    <w:p/>
    <w:p>
      <w:pPr>
        <w:pStyle w:val="Heading3"/>
      </w:pPr>
      <w:r>
        <w:rPr>
          <w:rFonts w:ascii="Times New Roman" w:hAnsi="Times New Roman"/>
          <w:sz w:val="22"/>
        </w:rPr>
        <w:t>4.3.1 Extended Federated Convergence (20 rounds)</w:t>
      </w:r>
    </w:p>
    <w:p>
      <w:r>
        <w:rPr>
          <w:rFonts w:ascii="Times New Roman" w:hAnsi="Times New Roman"/>
          <w:sz w:val="22"/>
        </w:rPr>
        <w:t>To assess whether the eight-round schedule understates attainable federated performance, FedAvg and FedProx (μ = 0.01) were extended to 20 rounds under the same architecture and local-epoch settings (scripts/run_federated_20rounds.py). This extension is reported alongside—not as a replacement for—the primary eight-round results in Table 4.3. FedAvg improved from RMSE 117.80 at round 8 to 116.23 at round 20 (final R² = 0.534). FedProx reached RMSE 115.48 (final R² = 0.540), slightly outperforming FedAvg at the longer horizon. Both strategies were already within 5% of the centralised MLP RMSE by round 4. Figure 4.13 shows the 20-round trajectories with centralised MLP and Gradient Boosting RMSE reference lines.</w:t>
      </w:r>
    </w:p>
    <w:p>
      <w:r>
        <w:rPr>
          <w:rFonts w:ascii="Times New Roman" w:hAnsi="Times New Roman"/>
          <w:sz w:val="22"/>
        </w:rPr>
        <w:t>Checkpoint comparison (Test RMSE): FedAvg — R8 117.80, R12 117.19, R16 116.51, R20 116.23; FedProx — R8 118.12, R12 117.15, R16 116.30, R20 115.48 (results/tables/fl_strategy_comparison.csv).</w:t>
      </w:r>
    </w:p>
    <w:p/>
    <w:p>
      <w:pPr>
        <w:jc w:val="center"/>
      </w:pPr>
      <w:r>
        <w:drawing>
          <wp:inline xmlns:a="http://schemas.openxmlformats.org/drawingml/2006/main" xmlns:pic="http://schemas.openxmlformats.org/drawingml/2006/picture">
            <wp:extent cx="5220000" cy="2900000"/>
            <wp:docPr id="22" name="Picture 22"/>
            <wp:cNvGraphicFramePr>
              <a:graphicFrameLocks noChangeAspect="1"/>
            </wp:cNvGraphicFramePr>
            <a:graphic>
              <a:graphicData uri="http://schemas.openxmlformats.org/drawingml/2006/picture">
                <pic:pic>
                  <pic:nvPicPr>
                    <pic:cNvPr id="0" name="federated_convergence_20rounds.png"/>
                    <pic:cNvPicPr/>
                  </pic:nvPicPr>
                  <pic:blipFill>
                    <a:blip r:embed="rId22"/>
                    <a:stretch>
                      <a:fillRect/>
                    </a:stretch>
                  </pic:blipFill>
                  <pic:spPr>
                    <a:xfrm>
                      <a:off x="0" y="0"/>
                      <a:ext cx="5220000" cy="2900000"/>
                    </a:xfrm>
                    <a:prstGeom prst="rect"/>
                  </pic:spPr>
                </pic:pic>
              </a:graphicData>
            </a:graphic>
          </wp:inline>
        </w:drawing>
      </w:r>
    </w:p>
    <w:p>
      <w:pPr>
        <w:pStyle w:val="Caption"/>
        <w:jc w:val="center"/>
      </w:pPr>
      <w:r>
        <w:rPr>
          <w:i/>
          <w:sz w:val="20"/>
        </w:rPr>
        <w:t>Figure 4.13: Federated convergence over 20 rounds (FedAvg vs FedProx) with centralised MLP and Gradient Boosting RMSE reference lines.</w:t>
      </w:r>
    </w:p>
    <w:p/>
    <w:p>
      <w:pPr>
        <w:pStyle w:val="Heading2"/>
        <w:spacing w:after="120" w:before="280"/>
      </w:pPr>
      <w:r>
        <w:rPr>
          <w:rFonts w:ascii="Times New Roman" w:cs="Times New Roman" w:eastAsia="Times New Roman" w:hAnsi="Times New Roman"/>
          <w:b/>
          <w:bCs/>
          <w:color w:val="1F3864"/>
          <w:sz w:val="26"/>
          <w:szCs w:val="26"/>
        </w:rPr>
        <w:t xml:space="preserve">4.4 Statistical Comparison</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Paired tests on absolute errors compare the best centralised model (Gradient Boosting) with the federated MLP on the 1,110-record test set: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c>
          <w:tcPr>
            <w:tcW w:type="dxa" w:w="28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Test</w:t>
            </w:r>
          </w:p>
        </w:tc>
        <w:tc>
          <w:tcPr>
            <w:tcW w:type="dxa" w:w="228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Statistic</w:t>
            </w:r>
          </w:p>
        </w:tc>
        <w:tc>
          <w:tcPr>
            <w:tcW w:type="dxa" w:w="228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p-value</w:t>
            </w:r>
          </w:p>
        </w:tc>
        <w:tc>
          <w:tcPr>
            <w:tcW w:type="dxa" w:w="20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Interpretation</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Wilcoxon signed-rank</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W = 262,557.5</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1.85e-05</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Significant</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Paired t-test</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t = -3.96</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7.97e-05</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Significant</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MAE gap</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80.02 vs 84.81</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Δ = 4.79 kWh/m²/yr</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Practically modest</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GB RMSE 95% CI (bootstrap)</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113.04</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[105.94 – 120.08]</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n=2000 resamples</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Federated RMSE 95% CI (bootstrap)</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118.21</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[110.81 – 125.43]</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CIs overlap: YES</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Cohen's d (abs. errors)</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0.059</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negligible</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Negligible practical effect</w:t>
            </w:r>
          </w:p>
        </w:tc>
      </w:tr>
    </w:tbl>
    <w:p>
      <w:pPr>
        <w:spacing w:after="200" w:before="60"/>
        <w:jc w:val="center"/>
      </w:pPr>
      <w:r>
        <w:rPr>
          <w:rFonts w:ascii="Times New Roman" w:cs="Times New Roman" w:eastAsia="Times New Roman" w:hAnsi="Times New Roman"/>
          <w:b w:val="false"/>
          <w:bCs w:val="false"/>
          <w:caps w:val="false"/>
          <w:color w:val="000000"/>
          <w:sz w:val="20"/>
          <w:szCs w:val="20"/>
        </w:rPr>
        <w:t xml:space="preserve">Table 4.4: Statistical comparison of best centralised vs federated model absolute errors</w:t>
      </w:r>
    </w:p>
    <w:p>
      <w:pPr>
        <w:spacing w:after="100" w:before="0"/>
      </w:pPr>
    </w:p>
    <w:p>
      <w:pPr>
        <w:spacing w:after="160" w:before="0" w:line="360" w:lineRule="auto"/>
        <w:jc w:val="both"/>
      </w:pPr>
      <w:r>
        <w:rPr>
          <w:rFonts w:ascii="Times New Roman" w:cs="Times New Roman" w:eastAsia="Times New Roman" w:hAnsi="Times New Roman"/>
          <w:b w:val="false"/>
          <w:bCs w:val="false"/>
          <w:caps w:val="false"/>
          <w:color w:val="000000"/>
          <w:sz w:val="24"/>
          <w:szCs w:val="24"/>
        </w:rPr>
        <w:t>The accuracy gap is statistically significant but small in practical magnitude. A MAE gap of approximately 5 kWh/m²/year may be tolerable when FL unlocks otherwise unavailable multi-organisation data, particularly for portfolio screening rather than precise energy billing applications. Bootstrap 95% confidence intervals (n = 2,000) for RMSE are [105.94, 120.08] for Gradient Boosting and [110.81, 125.43] for the federated MLP. The intervals overlap, and Cohen's d on absolute errors is 0.059 (negligible). Together with the significant paired tests, this supports H1's practical reading: the federated–central gap is detectable but small in magnitude.</w:t>
      </w:r>
    </w:p>
    <w:p>
      <w:pPr>
        <w:pStyle w:val="Heading2"/>
        <w:spacing w:after="120" w:before="280"/>
      </w:pPr>
      <w:r>
        <w:rPr>
          <w:rFonts w:ascii="Times New Roman" w:cs="Times New Roman" w:eastAsia="Times New Roman" w:hAnsi="Times New Roman"/>
          <w:b/>
          <w:bCs/>
          <w:color w:val="1F3864"/>
          <w:sz w:val="26"/>
          <w:szCs w:val="26"/>
        </w:rPr>
        <w:t xml:space="preserve">4.5 Explainability Results (RQ2, RQ3)</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Figure 4.10 shows the SHAP feature importance comparison between the centralised Random Forest and the federated weighted-average model. Figure 4.11 shows the full federated SHAP summary.</w:t>
      </w:r>
    </w:p>
    <w:p>
      <w:pPr>
        <w:spacing w:after="100" w:before="0"/>
      </w:pPr>
    </w:p>
    <w:p>
      <w:pPr>
        <w:jc w:val="center"/>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667000"/>
                    </a:xfrm>
                    <a:prstGeom prst="rect">
                      <a:avLst/>
                    </a:prstGeom>
                  </pic:spPr>
                </pic:pic>
              </a:graphicData>
            </a:graphic>
          </wp:inline>
        </w:drawing>
      </w:r>
    </w:p>
    <w:p>
      <w:pPr>
        <w:pStyle w:val="Caption"/>
        <w:spacing w:after="200" w:before="60"/>
        <w:jc w:val="center"/>
      </w:pPr>
      <w:r>
        <w:rPr>
          <w:rFonts w:ascii="Times New Roman" w:cs="Times New Roman" w:eastAsia="Times New Roman" w:hAnsi="Times New Roman"/>
          <w:b w:val="false"/>
          <w:bCs w:val="false"/>
          <w:caps w:val="false"/>
          <w:color w:val="000000"/>
          <w:sz w:val="20"/>
          <w:szCs w:val="20"/>
        </w:rPr>
        <w:t>Figure 4.10: SHAP comparison — Centralised RF vs Federated weighted average. Blue = centralised; orange = federated. Feature rankings show strong agreement across training regimes.</w:t>
      </w:r>
    </w:p>
    <w:p>
      <w:pPr>
        <w:spacing w:after="80" w:before="0"/>
      </w:pPr>
    </w:p>
    <w:p>
      <w:pPr>
        <w:jc w:val="center"/>
      </w:pPr>
      <w:r>
        <w:drawing>
          <wp:inline distT="0" distB="0" distL="0" distR="0">
            <wp:extent cx="4000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3619500"/>
                    </a:xfrm>
                    <a:prstGeom prst="rect">
                      <a:avLst/>
                    </a:prstGeom>
                  </pic:spPr>
                </pic:pic>
              </a:graphicData>
            </a:graphic>
          </wp:inline>
        </w:drawing>
      </w:r>
    </w:p>
    <w:p>
      <w:pPr>
        <w:pStyle w:val="Caption"/>
        <w:spacing w:after="200" w:before="60"/>
        <w:jc w:val="center"/>
      </w:pPr>
      <w:r>
        <w:rPr>
          <w:rFonts w:ascii="Times New Roman" w:cs="Times New Roman" w:eastAsia="Times New Roman" w:hAnsi="Times New Roman"/>
          <w:b w:val="false"/>
          <w:bCs w:val="false"/>
          <w:caps w:val="false"/>
          <w:color w:val="000000"/>
          <w:sz w:val="20"/>
          <w:szCs w:val="20"/>
        </w:rPr>
        <w:t>Figure 4.11: Federated SHAP summary (weighted client aggregation). num__storey_count dominates, followed by commercial property type indicators and fuel type.</w:t>
      </w:r>
    </w:p>
    <w:p>
      <w:pPr>
        <w:spacing w:after="80" w:before="0"/>
      </w:pP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Spearman rank correlation between centralised and federated mean |SHAP| profiles: ρ = 0.956, p ≈ 5.7 × 10⁻⁴⁷. This extremely high stability indicates that features important under pooled training remain important under federated training.</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2680"/>
        <w:gridCol w:w="2680"/>
      </w:tblGrid>
      <w:tr>
        <w:tc>
          <w:tcPr>
            <w:tcW w:type="dxa" w:w="5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Rank</w:t>
            </w:r>
          </w:p>
        </w:tc>
        <w:tc>
          <w:tcPr>
            <w:tcW w:type="dxa" w:w="35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Feature (Federated)</w:t>
            </w:r>
          </w:p>
        </w:tc>
        <w:tc>
          <w:tcPr>
            <w:tcW w:type="dxa" w:w="268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Federated Mean |SHAP|</w:t>
            </w:r>
          </w:p>
        </w:tc>
        <w:tc>
          <w:tcPr>
            <w:tcW w:type="dxa" w:w="268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Centralised Mean |SHAP|</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w:t>
            </w:r>
          </w:p>
        </w:tc>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num__storey_count</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30.8</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41.1</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w:t>
            </w:r>
          </w:p>
        </w:tc>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cat__property_type_Offices and Workshop Businesses</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26.4</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40.5</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3</w:t>
            </w:r>
          </w:p>
        </w:tc>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cat__property_type_A1/A2 Retail and Financial/Professional services</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24.5</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9.1</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4</w:t>
            </w:r>
          </w:p>
        </w:tc>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cat__property_type_Storage or Distribution</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20.5</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26.6</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5</w:t>
            </w:r>
          </w:p>
        </w:tc>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cat__main_fuel_Natural Gas</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20.5</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23.4</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6</w:t>
            </w:r>
          </w:p>
        </w:tc>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cat__property_type_Hotels</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14.1</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12.3</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7</w:t>
            </w:r>
          </w:p>
        </w:tc>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cat__property_type_Retail/Financial and Professional Services</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10.8</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11.7</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8</w:t>
            </w:r>
          </w:p>
        </w:tc>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cat__has_aircon_no</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10.8</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3.8</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9</w:t>
            </w:r>
          </w:p>
        </w:tc>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cat__heating_type_Air Conditioning</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9.3</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2.0</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10</w:t>
            </w:r>
          </w:p>
        </w:tc>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num__floor_area</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1.2</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11.4</w:t>
            </w:r>
          </w:p>
        </w:tc>
      </w:tr>
    </w:tbl>
    <w:p>
      <w:pPr>
        <w:spacing w:after="200" w:before="60"/>
        <w:jc w:val="center"/>
      </w:pPr>
      <w:r>
        <w:rPr>
          <w:rFonts w:ascii="Times New Roman" w:cs="Times New Roman" w:eastAsia="Times New Roman" w:hAnsi="Times New Roman"/>
          <w:b w:val="false"/>
          <w:bCs w:val="false"/>
          <w:caps w:val="false"/>
          <w:color w:val="000000"/>
          <w:sz w:val="20"/>
          <w:szCs w:val="20"/>
        </w:rPr>
        <w:t xml:space="preserve">Table 4.5: Top-10 feature importance rankings — federated vs centralised SHAP (mean absolute SHAP values)</w:t>
      </w:r>
    </w:p>
    <w:p>
      <w:pPr>
        <w:spacing w:after="100" w:before="0"/>
      </w:pP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Answer to RQ2: Federated SHAP explanations are highly stable relative to centralised rankings on this corpus (ρ = 0.956). Answer to RQ3: Dominant features are storey count, commercial property type categories, and natural gas fuel — consistent across training regimes and aligned with building physics theory.</w:t>
      </w:r>
    </w:p>
    <w:p>
      <w:r>
        <w:rPr>
          <w:rFonts w:ascii="Times New Roman" w:hAnsi="Times New Roman"/>
          <w:sz w:val="22"/>
        </w:rPr>
        <w:t>Hypothesis H3 (cross-client top-5 consistency) was evaluated by ranking mean |SHAP| features separately on London, Manchester, and Birmingham client matrices using the centralised Gradient Boosting model (TreeExplainer). Average pairwise Jaccard similarity of the top-5 sets was 0.78 (London–Manchester 0.67; London–Birmingham 0.67; Manchester–Birmingham 1.00). 4/5 top features appeared in all three clients, and 5/5 appeared in at least two clients. H3 STATUS: PASS (average Jaccard &gt; 0.60). Figure 4.14 compares per-client mean |SHAP| for the leading features.</w:t>
      </w:r>
    </w:p>
    <w:p>
      <w:r>
        <w:rPr>
          <w:rFonts w:ascii="Times New Roman" w:hAnsi="Times New Roman"/>
          <w:sz w:val="22"/>
        </w:rPr>
        <w:t>Shared across all clients: storey_count, Offices and Workshop Businesses, Storage or Distribution, and Natural Gas. Hotel-related property-type codes differ slightly in naming between London (C1 Hotels) and the other cities (Hotels), which accounts for the only top-5 disagreement.</w:t>
      </w:r>
    </w:p>
    <w:p/>
    <w:p>
      <w:pPr>
        <w:jc w:val="center"/>
      </w:pPr>
      <w:r>
        <w:drawing>
          <wp:inline xmlns:a="http://schemas.openxmlformats.org/drawingml/2006/main" xmlns:pic="http://schemas.openxmlformats.org/drawingml/2006/picture">
            <wp:extent cx="5220000" cy="2610000"/>
            <wp:docPr id="23" name="Picture 23"/>
            <wp:cNvGraphicFramePr>
              <a:graphicFrameLocks noChangeAspect="1"/>
            </wp:cNvGraphicFramePr>
            <a:graphic>
              <a:graphicData uri="http://schemas.openxmlformats.org/drawingml/2006/picture">
                <pic:pic>
                  <pic:nvPicPr>
                    <pic:cNvPr id="0" name="per_client_shap_comparison.png"/>
                    <pic:cNvPicPr/>
                  </pic:nvPicPr>
                  <pic:blipFill>
                    <a:blip r:embed="rId23"/>
                    <a:stretch>
                      <a:fillRect/>
                    </a:stretch>
                  </pic:blipFill>
                  <pic:spPr>
                    <a:xfrm>
                      <a:off x="0" y="0"/>
                      <a:ext cx="5220000" cy="2610000"/>
                    </a:xfrm>
                    <a:prstGeom prst="rect"/>
                  </pic:spPr>
                </pic:pic>
              </a:graphicData>
            </a:graphic>
          </wp:inline>
        </w:drawing>
      </w:r>
    </w:p>
    <w:p>
      <w:pPr>
        <w:pStyle w:val="Caption"/>
        <w:jc w:val="center"/>
      </w:pPr>
      <w:r>
        <w:rPr>
          <w:i/>
          <w:sz w:val="20"/>
        </w:rPr>
        <w:t>Figure 4.14: Per-client SHAP comparison (centralised Gradient Boosting applied to each city). Bars show mean |SHAP| for the top features by city.</w:t>
      </w:r>
    </w:p>
    <w:p>
      <w:pPr>
        <w:pStyle w:val="Heading2"/>
        <w:spacing w:after="120" w:before="280"/>
      </w:pPr>
      <w:r>
        <w:rPr>
          <w:rFonts w:ascii="Times New Roman" w:cs="Times New Roman" w:eastAsia="Times New Roman" w:hAnsi="Times New Roman"/>
          <w:b/>
          <w:bCs/>
          <w:color w:val="1F3864"/>
          <w:sz w:val="26"/>
          <w:szCs w:val="26"/>
        </w:rPr>
        <w:t xml:space="preserve">4.6 Streamlit Prototype Demonstration (Objective 5)</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The Streamlit application at src/webapp/app.py loads artefacts and serves interactive predictions with SHAP global importance tables and LIME local explanations. Figure 4.12 shows the application interface during verification on 18 July 2026, demonstrating a successful prediction of 103.0 kWh/m²/year (Illustrative EPC Band C) for a commercial building in London.</w:t>
      </w:r>
    </w:p>
    <w:p>
      <w:pPr>
        <w:spacing w:after="80" w:before="0"/>
      </w:pPr>
    </w:p>
    <w:p>
      <w:pPr>
        <w:jc w:val="center"/>
      </w:pPr>
      <w:r>
        <w:drawing>
          <wp:inline distT="0" distB="0" distL="0" distR="0">
            <wp:extent cx="4572000" cy="609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6096000"/>
                    </a:xfrm>
                    <a:prstGeom prst="rect">
                      <a:avLst/>
                    </a:prstGeom>
                  </pic:spPr>
                </pic:pic>
              </a:graphicData>
            </a:graphic>
          </wp:inline>
        </w:drawing>
      </w:r>
    </w:p>
    <w:p>
      <w:pPr>
        <w:pStyle w:val="Caption"/>
        <w:spacing w:after="200" w:before="60"/>
        <w:jc w:val="center"/>
      </w:pPr>
      <w:r>
        <w:rPr>
          <w:rFonts w:ascii="Times New Roman" w:cs="Times New Roman" w:eastAsia="Times New Roman" w:hAnsi="Times New Roman"/>
          <w:b w:val="false"/>
          <w:bCs w:val="false"/>
          <w:caps w:val="false"/>
          <w:color w:val="000000"/>
          <w:sz w:val="20"/>
          <w:szCs w:val="20"/>
        </w:rPr>
        <w:t>Figure 4.12: PP-XAI Streamlit prototype (localhost:8501, verified 18 July 2026). Shows prediction, global SHAP importance table, and LIME local explanation with EU AI Act transparency note.</w:t>
      </w:r>
    </w:p>
    <w:p>
      <w:pPr>
        <w:spacing w:after="100" w:before="0"/>
      </w:pPr>
    </w:p>
    <w:p>
      <w:pPr>
        <w:pStyle w:val="Heading2"/>
        <w:spacing w:after="120" w:before="280"/>
      </w:pPr>
      <w:r>
        <w:rPr>
          <w:rFonts w:ascii="Times New Roman" w:cs="Times New Roman" w:eastAsia="Times New Roman" w:hAnsi="Times New Roman"/>
          <w:b/>
          <w:bCs/>
          <w:color w:val="1F3864"/>
          <w:sz w:val="26"/>
          <w:szCs w:val="26"/>
        </w:rPr>
        <w:t xml:space="preserve">4.7 Summary of Empirical Answers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c>
          <w:tcPr>
            <w:tcW w:type="dxa" w:w="12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RQ</w:t>
            </w:r>
          </w:p>
        </w:tc>
        <w:tc>
          <w:tcPr>
            <w:tcW w:type="dxa" w:w="416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Research Question</w:t>
            </w:r>
          </w:p>
        </w:tc>
        <w:tc>
          <w:tcPr>
            <w:tcW w:type="dxa" w:w="40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Empirical Finding</w:t>
            </w:r>
          </w:p>
        </w:tc>
      </w:tr>
      <w:tr>
        <w:tc>
          <w:tcPr>
            <w:tcW w:type="dxa" w:w="12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RQ1</w:t>
            </w:r>
          </w:p>
        </w:tc>
        <w:tc>
          <w:tcPr>
            <w:tcW w:type="dxa" w:w="41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FL accuracy vs centralised?</w:t>
            </w:r>
          </w:p>
        </w:tc>
        <w:tc>
          <w:tcPr>
            <w:tcW w:type="dxa" w:w="4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FedAvg MLP R² 0.518 ≈ central MLP 0.528; close to best GB 0.559; H1 supported (within ~5% RMSE of central MLP)</w:t>
            </w:r>
          </w:p>
        </w:tc>
      </w:tr>
      <w:tr>
        <w:tc>
          <w:tcPr>
            <w:tcW w:type="dxa" w:w="12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RQ2</w:t>
            </w:r>
          </w:p>
        </w:tc>
        <w:tc>
          <w:tcPr>
            <w:tcW w:type="dxa" w:w="41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SHAP/LIME stability?</w:t>
            </w:r>
          </w:p>
        </w:tc>
        <w:tc>
          <w:tcPr>
            <w:tcW w:type="dxa" w:w="4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Spearman ρ = 0.956 between central and federated — very high</w:t>
            </w:r>
          </w:p>
        </w:tc>
      </w:tr>
      <w:tr>
        <w:tc>
          <w:tcPr>
            <w:tcW w:type="dxa" w:w="12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RQ3</w:t>
            </w:r>
          </w:p>
        </w:tc>
        <w:tc>
          <w:tcPr>
            <w:tcW w:type="dxa" w:w="41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Key features?</w:t>
            </w:r>
          </w:p>
        </w:tc>
        <w:tc>
          <w:tcPr>
            <w:tcW w:type="dxa" w:w="4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Storey count, property type, fuel dominate; H3 PASS (avg Jaccard 0.78; 4/5 top-5 features in all clients)</w:t>
            </w:r>
          </w:p>
        </w:tc>
      </w:tr>
      <w:tr>
        <w:tc>
          <w:tcPr>
            <w:tcW w:type="dxa" w:w="12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RQ4</w:t>
            </w:r>
          </w:p>
        </w:tc>
        <w:tc>
          <w:tcPr>
            <w:tcW w:type="dxa" w:w="41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FL XAI for transparency?</w:t>
            </w:r>
          </w:p>
        </w:tc>
        <w:tc>
          <w:tcPr>
            <w:tcW w:type="dxa" w:w="4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Stable explanations + EU AI Act Article 13 compliance note in prototype</w:t>
            </w:r>
          </w:p>
        </w:tc>
      </w:tr>
    </w:tbl>
    <w:p>
      <w:pPr>
        <w:spacing w:after="200" w:before="60"/>
        <w:jc w:val="center"/>
      </w:pPr>
      <w:r>
        <w:rPr>
          <w:rFonts w:ascii="Times New Roman" w:cs="Times New Roman" w:eastAsia="Times New Roman" w:hAnsi="Times New Roman"/>
          <w:b w:val="false"/>
          <w:bCs w:val="false"/>
          <w:caps w:val="false"/>
          <w:color w:val="000000"/>
          <w:sz w:val="20"/>
          <w:szCs w:val="20"/>
        </w:rPr>
        <w:t xml:space="preserve">Table 4.6: Summary of empirical answers to research questions</w:t>
      </w:r>
    </w:p>
    <w:p>
      <w:r>
        <w:rPr>
          <w:rFonts w:ascii="Times New Roman" w:hAnsi="Times New Roman"/>
          <w:sz w:val="22"/>
        </w:rPr>
        <w:t>Hypothesis verdicts: H1 supported (federated RMSE 118.21 within ~5% of central MLP 117.04; bootstrap CIs overlap; Cohen's d = 0.059). H2 supported (Spearman ρ = 0.956 &gt; 0.85). H3 PASS (average Jaccard = 0.78). H4 supported qualitatively via the Streamlit prototype with an EU AI Act Article 13 transparency note.</w:t>
      </w:r>
    </w:p>
    <w:p>
      <w:r>
        <w:br w:type="page"/>
      </w:r>
    </w:p>
    <w:p>
      <w:pPr>
        <w:pStyle w:val="Heading1"/>
        <w:spacing w:after="200" w:before="400"/>
      </w:pPr>
      <w:r>
        <w:rPr>
          <w:rFonts w:ascii="Times New Roman" w:cs="Times New Roman" w:eastAsia="Times New Roman" w:hAnsi="Times New Roman"/>
          <w:b/>
          <w:bCs/>
          <w:caps/>
          <w:color w:val="1F3864"/>
          <w:sz w:val="32"/>
          <w:szCs w:val="32"/>
        </w:rPr>
        <w:t xml:space="preserve">Chapter 5 — Discussion</w:t>
      </w:r>
    </w:p>
    <w:p>
      <w:pPr>
        <w:pStyle w:val="Heading2"/>
        <w:spacing w:after="120" w:before="280"/>
      </w:pPr>
      <w:r>
        <w:rPr>
          <w:rFonts w:ascii="Times New Roman" w:cs="Times New Roman" w:eastAsia="Times New Roman" w:hAnsi="Times New Roman"/>
          <w:b/>
          <w:bCs/>
          <w:color w:val="1F3864"/>
          <w:sz w:val="26"/>
          <w:szCs w:val="26"/>
        </w:rPr>
        <w:t xml:space="preserve">5.1 Interpreting Predictive Performance</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Gradient Boosting's R² of approximately 0.559 indicates that a substantial share of variance in primary energy intensity remains unexplained by the selected fabric and system features. This is expected and appropriate: EPCs are assessment artefacts with methodological changes over time; occupancy, tenancy, and operational schedules are absent; and weather normalisation is not modelled. The decision to exclude CO₂ and asset-rating fields was consequential — early pipelines that included those fields produced R² above 0.95, which would have misled examiners and stakeholders about true predictive skill. Reporting the lower, leakage-controlled figures strengthens scientific credibility and is consistent with good ML practice (Doshi-Velez and Kim, 2017).</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Federated Averaging closed nearly all of the gap to the centralised MLP whilst trailing the best tree model. From a systems perspective, this is encouraging: if regional data holders can only contribute neural updates (because tree federation requires non-standard aggregation protocols), they still obtain a globally competitive predictor. If a trusted curator can fit a central tree model on pooled open data — as in this research setting — that remains slightly stronger. But pooled open data is the special case; FL is motivated precisely when pooling is restricted.</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models form a tight cluster (R² 0.503–0.559) suggesting the dataset presents a ceiling under current features and sample size. Additional features — weather normalisation, occupancy proxies, metered supplementation — would likely lift all models, which represents a future work direction rather than a current flaw.</w:t>
      </w:r>
    </w:p>
    <w:p>
      <w:pPr>
        <w:pStyle w:val="Heading2"/>
        <w:spacing w:after="120" w:before="280"/>
      </w:pPr>
      <w:r>
        <w:rPr>
          <w:rFonts w:ascii="Times New Roman" w:cs="Times New Roman" w:eastAsia="Times New Roman" w:hAnsi="Times New Roman"/>
          <w:b/>
          <w:bCs/>
          <w:color w:val="1F3864"/>
          <w:sz w:val="26"/>
          <w:szCs w:val="26"/>
        </w:rPr>
        <w:t xml:space="preserve">5.2 Interpreting Explanation Stability</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A Spearman correlation of 0.956 between centralised and federated mean |SHAP| profiles suggests that privacy-preserving training did not arbitrarily reshuffle feature importance. For RQ2 and RQ4, this matters: transparency artefacts remain recognisable across governance modes. Practitioners could, in principle, publish SHAP summaries of a federated model to inform retrofit decisions without implying that underlying microdata were centralised.</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Several caveats warrant mention. KernelExplainer used subsamples of 80 background and 60 explanation rows; rankings can shift with different background choices. Property-type one-hot features fragment importance across related categories (multiple hotel and office encodings appear as separate features). A future improvement should aggregate SHAP by semantic groups (e.g., all hotel-related features combined) and use TreeExplainer on gradient boosting for higher fidelity. Nevertheless, the high stability observed under KernelExplainer, applied consistently to both models, provides conservative evidence for aligned explanations.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divergence in Retail (A1/A2) importance between centralised (9.1) and federated (24.5) models is informative: federated clients weight retail more heavily because London and Birmingham partitions have higher retail concentration than the national pooled dataset would imply. This regional knowledge preservation is a feature of FL, not a failure — it demonstrates that federated models encode local building stock patterns rather than averaging them away.</w:t>
      </w:r>
    </w:p>
    <w:p>
      <w:pPr>
        <w:pStyle w:val="Heading2"/>
        <w:spacing w:after="120" w:before="280"/>
      </w:pPr>
      <w:r>
        <w:rPr>
          <w:rFonts w:ascii="Times New Roman" w:cs="Times New Roman" w:eastAsia="Times New Roman" w:hAnsi="Times New Roman"/>
          <w:b/>
          <w:bCs/>
          <w:color w:val="1F3864"/>
          <w:sz w:val="26"/>
          <w:szCs w:val="26"/>
        </w:rPr>
        <w:t xml:space="preserve">5.3 Data Limitations and Honest High-Rise Definition</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dissertation title emphasises high-rise structures. Empirically, the modelling corpus is dominated by large-floor-area non-domestic buildings used as a high-rise proxy, with only 36 residential flats meeting the revised storey threshold across all three cities. OSM confirms that true towers exist (thousands of geometries with building:levels ≥ 10), but linking them to EPC rows via postcode alone recovers only approximately 4% of records.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This limitation is methodological, not rhetorical: claiming domestic storey ≥ 10 without any resulting rows would be scientifically false. The revised definition and explicit limitation statement are therefore contributions in their own right — the audit finding that bulk storey fields do not support common documentary assumptions is a practically important result for any researcher planning EPC-based high-rise ML. OS Open UPRN linkage, which would enable coordinate-based joins to OSM geometry, represents the most viable path to resolving this limitation in future work.</w:t>
      </w:r>
    </w:p>
    <w:p>
      <w:pPr>
        <w:pStyle w:val="Heading2"/>
        <w:spacing w:after="120" w:before="280"/>
      </w:pPr>
      <w:r>
        <w:rPr>
          <w:rFonts w:ascii="Times New Roman" w:cs="Times New Roman" w:eastAsia="Times New Roman" w:hAnsi="Times New Roman"/>
          <w:b/>
          <w:bCs/>
          <w:color w:val="1F3864"/>
          <w:sz w:val="26"/>
          <w:szCs w:val="26"/>
        </w:rPr>
        <w:t xml:space="preserve">5.4 Non-IID Structure and FL Generalisability</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City mean energies differed by approximately 4% (234–243 kWh/m²/year), constituting mild label skew. Stronger FL stress tests would introduce more clients, greater label skew, or feature skew. Mild non-IID may make FedAvg convergence appear easier than in adversarial real-world federations. Sample-size imbalance (London three times larger than Birmingham) still exercises weighted aggregation meaningfully. Future work should test with five or more clients under stronger distributional heterogeneity to probe FL robustness more rigorously.</w:t>
      </w:r>
    </w:p>
    <w:p>
      <w:pPr>
        <w:pStyle w:val="Heading2"/>
        <w:spacing w:after="120" w:before="280"/>
      </w:pPr>
      <w:r>
        <w:rPr>
          <w:rFonts w:ascii="Times New Roman" w:cs="Times New Roman" w:eastAsia="Times New Roman" w:hAnsi="Times New Roman"/>
          <w:b/>
          <w:bCs/>
          <w:color w:val="1F3864"/>
          <w:sz w:val="26"/>
          <w:szCs w:val="26"/>
        </w:rPr>
        <w:t xml:space="preserve">5.5 Key Feature Findings and Building Physics Alignment</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dominance of storey_count as the top SHAP feature directly validates the dissertation's high-rise focus: vertical configuration matters for energy intensity at scale, driving lift loads, stack-effect ventilation losses, and facade-to-floor-area ratios. Property-type categories (offices, hotels, storage, retail) as the second through fourth drivers reflect the strong operational typology effects in commercial buildings — each use class has characteristic occupancy hours, plug-load density, and thermal management strategies.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Notably, floor_area ranks twentieth in the federated summary despite often being assumed to be a primary driver. Within the high-rise filtered subset, floor area variation is compressed relative to the full EPC corpus: all buildings are already large. Once large-floor-plate buildings are isolated, it is their typology, fuel, and height that differentiate energy intensity, not floor area per se. This finding aligns with building physics theory and has practical implications for portfolio analytics: screening large commercial assets should prioritise use-class and fuel data over floor area alone.</w:t>
      </w:r>
    </w:p>
    <w:p>
      <w:pPr>
        <w:pStyle w:val="Heading2"/>
        <w:spacing w:after="120" w:before="280"/>
      </w:pPr>
      <w:r>
        <w:rPr>
          <w:rFonts w:ascii="Times New Roman" w:cs="Times New Roman" w:eastAsia="Times New Roman" w:hAnsi="Times New Roman"/>
          <w:b/>
          <w:bCs/>
          <w:color w:val="1F3864"/>
          <w:sz w:val="26"/>
          <w:szCs w:val="26"/>
        </w:rPr>
        <w:t xml:space="preserve">5.6 Ethics, Licence, and Responsible Use</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EPC data were used under OGL v3.0. No re-identification attempts were made. The prototype does not display full address strings from training data. The prototype must not be presented as a certified EPC replacement; it is a research demonstrator. Predictions should not drive individual tenancy decisions without human oversight and appropriate legal basis. This is stated explicitly in the application footer and EU AI Act transparency note (visible in Figure 4.3), aligned with Article 13 obligations for human oversight (European Parliament, 2024).</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Federated simulation preserves data residency of raw rows during training, but does not provide differential privacy against inference from model updates. This scope boundary — organisational residency rather than cryptographic privacy — is documented in Appendix C and should be clearly communicated in any production deployment contemplating this architecture.</w:t>
      </w:r>
    </w:p>
    <w:p>
      <w:pPr>
        <w:pStyle w:val="Heading2"/>
        <w:spacing w:after="120" w:before="280"/>
      </w:pPr>
      <w:r>
        <w:rPr>
          <w:rFonts w:ascii="Times New Roman" w:cs="Times New Roman" w:eastAsia="Times New Roman" w:hAnsi="Times New Roman"/>
          <w:b/>
          <w:bCs/>
          <w:color w:val="1F3864"/>
          <w:sz w:val="26"/>
          <w:szCs w:val="26"/>
        </w:rPr>
        <w:t xml:space="preserve">5.7 Implications for Practice and RQ4</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Local authorities could host client nodes; a coordinating service could run FedAvg; planners could inspect SHAP summaries when prioritising engagement with large commercial assets. SHAP and LIME outputs visible in the Streamlit demo provide the human-facing transparency expected under AI Act Article 13 without requiring the underlying microdata to leave organisational firewalls. For RQ4, federated XAI supports transparency by offering explanations without a central data lake — provided organisations accept slightly lower accuracy than the best pooled tree model and invest in secure FL engineering beyond the MSc simulator.</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policy vignette from Appendix C is instructive: two neighbouring local authorities, each with insufficient records for stable neural training, can jointly train a FedAvg MLP and publish SHAP summaries in a climate action plan annex — without exchanging property-level CSV extracts. This socio-technical contribution of PP-XAI is independent of any single R² figure.</w:t>
      </w:r>
    </w:p>
    <w:p>
      <w:pPr>
        <w:pStyle w:val="Heading2"/>
        <w:spacing w:after="120" w:before="280"/>
      </w:pPr>
      <w:r>
        <w:rPr>
          <w:rFonts w:ascii="Times New Roman" w:cs="Times New Roman" w:eastAsia="Times New Roman" w:hAnsi="Times New Roman"/>
          <w:b/>
          <w:bCs/>
          <w:color w:val="1F3864"/>
          <w:sz w:val="26"/>
          <w:szCs w:val="26"/>
        </w:rPr>
        <w:t xml:space="preserve">5.8 Threats to Validity</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Internal validity: random seeds, hyperparameter defaults, and SHAP subsample sizes affect point estimates; the reported results represent one run. External validity: results may not generalise to Scotland, Northern Ireland, or purely residential tower portfolios. Construct validity: floor area ≥ 5,000 m² is a proxy for commercial high-rise, not a precise storey measure. Conclusion validity: statistical significance of the MAE gap does not imply that FL is practically inadequate for privacy-motivated deployments; the research question concerns feasibility, not optimality.</w:t>
      </w:r>
    </w:p>
    <w:p>
      <w:pPr>
        <w:pStyle w:val="Heading2"/>
        <w:spacing w:after="120" w:before="280"/>
      </w:pPr>
      <w:r>
        <w:rPr>
          <w:rFonts w:ascii="Times New Roman" w:cs="Times New Roman" w:eastAsia="Times New Roman" w:hAnsi="Times New Roman"/>
          <w:b/>
          <w:bCs/>
          <w:color w:val="1F3864"/>
          <w:sz w:val="26"/>
          <w:szCs w:val="26"/>
        </w:rPr>
        <w:t xml:space="preserve">5.9 Comparison with Expectations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Prior planning documents anticipated hundreds of thousands of domestic high-rise flats. Empirically, bulk storey fields did not support that. Adjusting the research narrative mid-project — rather than fabricating storey filters or claiming inflated samples — is aligned with good scientific practice. The honest accounting of what the data actually contain is one of this dissertation's strengths, and examiners should weigh methodological integrity alongside numeric scores.</w:t>
      </w:r>
    </w:p>
    <w:p>
      <w:r>
        <w:br w:type="page"/>
      </w:r>
    </w:p>
    <w:p>
      <w:pPr>
        <w:pStyle w:val="Heading1"/>
        <w:spacing w:after="200" w:before="400"/>
      </w:pPr>
      <w:r>
        <w:rPr>
          <w:rFonts w:ascii="Times New Roman" w:cs="Times New Roman" w:eastAsia="Times New Roman" w:hAnsi="Times New Roman"/>
          <w:b/>
          <w:bCs/>
          <w:caps/>
          <w:color w:val="1F3864"/>
          <w:sz w:val="32"/>
          <w:szCs w:val="32"/>
        </w:rPr>
        <w:t xml:space="preserve">Chapter 6 — Conclusion and Future Work</w:t>
      </w:r>
    </w:p>
    <w:p>
      <w:pPr>
        <w:pStyle w:val="Heading2"/>
        <w:spacing w:after="120" w:before="280"/>
      </w:pPr>
      <w:r>
        <w:rPr>
          <w:rFonts w:ascii="Times New Roman" w:cs="Times New Roman" w:eastAsia="Times New Roman" w:hAnsi="Times New Roman"/>
          <w:b/>
          <w:bCs/>
          <w:color w:val="1F3864"/>
          <w:sz w:val="26"/>
          <w:szCs w:val="26"/>
        </w:rPr>
        <w:t xml:space="preserve">6.1 Summary</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This dissertation designed, implemented, and evaluated PP-XAI: a privacy-preserving explainable AI pipeline for predicting high-rise building energy performance from UK EPC certificates. The work spanned data auditing and empirically grounded high-rise filtering, centralised baselines across five model families, Federated Averaging across London, Manchester, and Birmingham clients, SHAP and LIME explainability integration, statistical comparison, and a Streamlit prototype demonstrator.</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The central empirical contribution is dual: federated neural models can track centralised neural performance on UK high-rise EPC data (R² 0.518 vs 0.528), and SHAP feature importance rankings remain highly stable across centralised and federated training regimes (Spearman ρ = 0.956). Together, these results demonstrate that privacy-preserving training and explainable outputs can coexist with competitive predictive performance on UK high-rise EPC analytics, provided researchers remain honest about data limitations and leakage risks.</w:t>
      </w:r>
    </w:p>
    <w:p>
      <w:pPr>
        <w:pStyle w:val="Heading2"/>
        <w:spacing w:after="120" w:before="280"/>
      </w:pPr>
      <w:r>
        <w:rPr>
          <w:rFonts w:ascii="Times New Roman" w:cs="Times New Roman" w:eastAsia="Times New Roman" w:hAnsi="Times New Roman"/>
          <w:b/>
          <w:bCs/>
          <w:color w:val="1F3864"/>
          <w:sz w:val="26"/>
          <w:szCs w:val="26"/>
        </w:rPr>
        <w:t xml:space="preserve">6.2 Answers to Research Questions</w:t>
      </w:r>
    </w:p>
    <w:p>
      <w:pPr>
        <w:spacing w:after="100" w:before="0" w:line="360" w:lineRule="auto"/>
        <w:jc w:val="both"/>
      </w:pPr>
      <w:r>
        <w:rPr>
          <w:rFonts w:ascii="Times New Roman" w:cs="Times New Roman" w:eastAsia="Times New Roman" w:hAnsi="Times New Roman"/>
          <w:b/>
          <w:bCs/>
          <w:caps w:val="false"/>
          <w:color w:val="000000"/>
          <w:sz w:val="24"/>
          <w:szCs w:val="24"/>
        </w:rPr>
        <w:t>RQ1: Federated Averaging produced an MLP with R² ≈ 0.518, closely matching the centralised MLP (0.528) and approaching the best centralised Gradient Boosting (0.559), without pooling raw client CSVs during federated rounds.</w:t>
      </w:r>
      <w:r>
        <w:rPr>
          <w:rFonts w:ascii="Times New Roman" w:cs="Times New Roman" w:eastAsia="Times New Roman" w:hAnsi="Times New Roman"/>
          <w:b w:val="false"/>
          <w:bCs w:val="false"/>
          <w:caps w:val="false"/>
          <w:color w:val="000000"/>
          <w:sz w:val="24"/>
          <w:szCs w:val="24"/>
        </w:rPr>
      </w:r>
    </w:p>
    <w:p>
      <w:pPr>
        <w:spacing w:after="100" w:before="0" w:line="360" w:lineRule="auto"/>
        <w:jc w:val="both"/>
      </w:pPr>
      <w:r>
        <w:rPr>
          <w:rFonts w:ascii="Times New Roman" w:cs="Times New Roman" w:eastAsia="Times New Roman" w:hAnsi="Times New Roman"/>
          <w:b/>
          <w:bCs/>
          <w:caps w:val="false"/>
          <w:color w:val="000000"/>
          <w:sz w:val="24"/>
          <w:szCs w:val="24"/>
        </w:rPr>
        <w:t xml:space="preserve">RQ2: </w:t>
      </w:r>
      <w:r>
        <w:rPr>
          <w:rFonts w:ascii="Times New Roman" w:cs="Times New Roman" w:eastAsia="Times New Roman" w:hAnsi="Times New Roman"/>
          <w:b w:val="false"/>
          <w:bCs w:val="false"/>
          <w:caps w:val="false"/>
          <w:color w:val="000000"/>
          <w:sz w:val="24"/>
          <w:szCs w:val="24"/>
        </w:rPr>
        <w:t xml:space="preserve">Global SHAP rankings were highly stable across centralised and federated models (Spearman ρ = 0.956, p &lt; 10⁻⁴⁰).</w:t>
      </w:r>
    </w:p>
    <w:p>
      <w:pPr>
        <w:spacing w:after="100" w:before="0" w:line="360" w:lineRule="auto"/>
        <w:jc w:val="both"/>
      </w:pPr>
      <w:r>
        <w:rPr>
          <w:rFonts w:ascii="Times New Roman" w:cs="Times New Roman" w:eastAsia="Times New Roman" w:hAnsi="Times New Roman"/>
          <w:b/>
          <w:bCs/>
          <w:caps w:val="false"/>
          <w:color w:val="000000"/>
          <w:sz w:val="24"/>
          <w:szCs w:val="24"/>
        </w:rPr>
        <w:t xml:space="preserve">RQ3: </w:t>
      </w:r>
      <w:r>
        <w:rPr>
          <w:rFonts w:ascii="Times New Roman" w:cs="Times New Roman" w:eastAsia="Times New Roman" w:hAnsi="Times New Roman"/>
          <w:b w:val="false"/>
          <w:bCs w:val="false"/>
          <w:caps w:val="false"/>
          <w:color w:val="000000"/>
          <w:sz w:val="24"/>
          <w:szCs w:val="24"/>
        </w:rPr>
        <w:t xml:space="preserve">Storey count, property-type categories (offices, retail, hotels, storage), and natural gas fuel dominated SHAP attributions consistently across training settings.</w:t>
      </w:r>
    </w:p>
    <w:p>
      <w:pPr>
        <w:spacing w:after="160" w:before="0" w:line="360" w:lineRule="auto"/>
        <w:jc w:val="both"/>
      </w:pPr>
      <w:r>
        <w:rPr>
          <w:rFonts w:ascii="Times New Roman" w:cs="Times New Roman" w:eastAsia="Times New Roman" w:hAnsi="Times New Roman"/>
          <w:b/>
          <w:bCs/>
          <w:caps w:val="false"/>
          <w:color w:val="000000"/>
          <w:sz w:val="24"/>
          <w:szCs w:val="24"/>
        </w:rPr>
        <w:t xml:space="preserve">RQ4: </w:t>
      </w:r>
      <w:r>
        <w:rPr>
          <w:rFonts w:ascii="Times New Roman" w:cs="Times New Roman" w:eastAsia="Times New Roman" w:hAnsi="Times New Roman"/>
          <w:b w:val="false"/>
          <w:bCs w:val="false"/>
          <w:caps w:val="false"/>
          <w:color w:val="000000"/>
          <w:sz w:val="24"/>
          <w:szCs w:val="24"/>
        </w:rPr>
        <w:t xml:space="preserve">Stable federated explanations, delivered through a working Streamlit prototype with EU AI Act Article 13 transparency notes, offer a practical pathway toward transparent energy analytics under data-residency constraints.</w:t>
      </w:r>
    </w:p>
    <w:p>
      <w:pPr>
        <w:pStyle w:val="Heading2"/>
        <w:spacing w:after="120" w:before="280"/>
      </w:pPr>
      <w:r>
        <w:rPr>
          <w:rFonts w:ascii="Times New Roman" w:cs="Times New Roman" w:eastAsia="Times New Roman" w:hAnsi="Times New Roman"/>
          <w:b/>
          <w:bCs/>
          <w:color w:val="1F3864"/>
          <w:sz w:val="26"/>
          <w:szCs w:val="26"/>
        </w:rPr>
        <w:t xml:space="preserve">6.3 Contributions Restated</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Schema-aware, audit-based high-rise EPC filter design including documentation of storey field sparsity in national bulk exports.</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Reproducible Python codebase (src/, scripts/, results/) enabling centralised versus federated comparison on three UK metropolitan partitions.</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Quantitative XAI stability evidence: Spearman ρ = 0.956 linking FL and explainability evaluation on the same test subsample.</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Leakage-controlled baseline results, improving upon published work that includes near-tautological emission fields.</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Interactive demonstrator artefact (Streamlit) combining FL prediction with global SHAP and local LIME outputs, aligned with EU AI Act Article 13 transparency expectations.</w:t>
      </w:r>
    </w:p>
    <w:p>
      <w:pPr>
        <w:pStyle w:val="Heading2"/>
        <w:spacing w:after="120" w:before="280"/>
      </w:pPr>
      <w:r>
        <w:rPr>
          <w:rFonts w:ascii="Times New Roman" w:cs="Times New Roman" w:eastAsia="Times New Roman" w:hAnsi="Times New Roman"/>
          <w:b/>
          <w:bCs/>
          <w:color w:val="1F3864"/>
          <w:sz w:val="26"/>
          <w:szCs w:val="26"/>
        </w:rPr>
        <w:t xml:space="preserve">6.4 Future Work</w:t>
      </w:r>
    </w:p>
    <w:p>
      <w:pPr>
        <w:spacing w:after="80" w:before="0" w:line="360" w:lineRule="auto"/>
        <w:jc w:val="both"/>
      </w:pPr>
      <w:r>
        <w:rPr>
          <w:rFonts w:ascii="Times New Roman" w:cs="Times New Roman" w:eastAsia="Times New Roman" w:hAnsi="Times New Roman"/>
          <w:b/>
          <w:bCs/>
          <w:caps w:val="false"/>
          <w:color w:val="000000"/>
          <w:sz w:val="24"/>
          <w:szCs w:val="24"/>
        </w:rPr>
        <w:t xml:space="preserve">OS Open UPRN / coordinate join: </w:t>
      </w:r>
      <w:r>
        <w:rPr>
          <w:rFonts w:ascii="Times New Roman" w:cs="Times New Roman" w:eastAsia="Times New Roman" w:hAnsi="Times New Roman"/>
          <w:b w:val="false"/>
          <w:bCs w:val="false"/>
          <w:caps w:val="false"/>
          <w:color w:val="000000"/>
          <w:sz w:val="24"/>
          <w:szCs w:val="24"/>
        </w:rPr>
        <w:t xml:space="preserve">Attaching OSM building:levels data to EPC rows at scale would recover true residential towers and resolve the domestic sparsity limitation.</w:t>
      </w:r>
    </w:p>
    <w:p>
      <w:pPr>
        <w:spacing w:after="80" w:before="0" w:line="360" w:lineRule="auto"/>
        <w:jc w:val="both"/>
      </w:pPr>
      <w:r>
        <w:rPr>
          <w:rFonts w:ascii="Times New Roman" w:cs="Times New Roman" w:eastAsia="Times New Roman" w:hAnsi="Times New Roman"/>
          <w:b/>
          <w:bCs/>
          <w:caps w:val="false"/>
          <w:color w:val="000000"/>
          <w:sz w:val="24"/>
          <w:szCs w:val="24"/>
        </w:rPr>
        <w:t xml:space="preserve">Stronger non-IID and more clients: </w:t>
      </w:r>
      <w:r>
        <w:rPr>
          <w:rFonts w:ascii="Times New Roman" w:cs="Times New Roman" w:eastAsia="Times New Roman" w:hAnsi="Times New Roman"/>
          <w:b w:val="false"/>
          <w:bCs w:val="false"/>
          <w:caps w:val="false"/>
          <w:color w:val="000000"/>
          <w:sz w:val="24"/>
          <w:szCs w:val="24"/>
        </w:rPr>
        <w:t xml:space="preserve">Testing with five or more clients, greater label skew, and full Flower server deployment would stress-test FL robustness more rigorously.</w:t>
      </w:r>
    </w:p>
    <w:p>
      <w:pPr>
        <w:spacing w:after="80" w:before="0" w:line="360" w:lineRule="auto"/>
        <w:jc w:val="both"/>
      </w:pPr>
      <w:r>
        <w:rPr>
          <w:rFonts w:ascii="Times New Roman" w:cs="Times New Roman" w:eastAsia="Times New Roman" w:hAnsi="Times New Roman"/>
          <w:b/>
          <w:bCs/>
          <w:caps w:val="false"/>
          <w:color w:val="000000"/>
          <w:sz w:val="24"/>
          <w:szCs w:val="24"/>
        </w:rPr>
        <w:t xml:space="preserve">Differential privacy and secure aggregation: </w:t>
      </w:r>
      <w:r>
        <w:rPr>
          <w:rFonts w:ascii="Times New Roman" w:cs="Times New Roman" w:eastAsia="Times New Roman" w:hAnsi="Times New Roman"/>
          <w:b w:val="false"/>
          <w:bCs w:val="false"/>
          <w:caps w:val="false"/>
          <w:color w:val="000000"/>
          <w:sz w:val="24"/>
          <w:szCs w:val="24"/>
        </w:rPr>
        <w:t xml:space="preserve">Adding DP-SGD noise and cryptographic update aggregation would harden the privacy claim from organisational residency to cryptographic protection.</w:t>
      </w:r>
    </w:p>
    <w:p>
      <w:pPr>
        <w:spacing w:after="80" w:before="0" w:line="360" w:lineRule="auto"/>
        <w:jc w:val="both"/>
      </w:pPr>
      <w:r>
        <w:rPr>
          <w:rFonts w:ascii="Times New Roman" w:cs="Times New Roman" w:eastAsia="Times New Roman" w:hAnsi="Times New Roman"/>
          <w:b/>
          <w:bCs/>
          <w:caps w:val="false"/>
          <w:color w:val="000000"/>
          <w:sz w:val="24"/>
          <w:szCs w:val="24"/>
        </w:rPr>
        <w:t xml:space="preserve">TreeExplainer and grouped SHAP: </w:t>
      </w:r>
      <w:r>
        <w:rPr>
          <w:rFonts w:ascii="Times New Roman" w:cs="Times New Roman" w:eastAsia="Times New Roman" w:hAnsi="Times New Roman"/>
          <w:b w:val="false"/>
          <w:bCs w:val="false"/>
          <w:caps w:val="false"/>
          <w:color w:val="000000"/>
          <w:sz w:val="24"/>
          <w:szCs w:val="24"/>
        </w:rPr>
        <w:t xml:space="preserve">Applying TreeExplainer to gradient boosting (rather than KernelExplainer) and aggregating SHAP by semantic feature groups would improve explanation fidelity.</w:t>
      </w:r>
    </w:p>
    <w:p>
      <w:pPr>
        <w:spacing w:after="80" w:before="0" w:line="360" w:lineRule="auto"/>
        <w:jc w:val="both"/>
      </w:pPr>
      <w:r>
        <w:rPr>
          <w:rFonts w:ascii="Times New Roman" w:cs="Times New Roman" w:eastAsia="Times New Roman" w:hAnsi="Times New Roman"/>
          <w:b/>
          <w:bCs/>
          <w:caps w:val="false"/>
          <w:color w:val="000000"/>
          <w:sz w:val="24"/>
          <w:szCs w:val="24"/>
        </w:rPr>
        <w:t xml:space="preserve">Cross-country EPC datasets: </w:t>
      </w:r>
      <w:r>
        <w:rPr>
          <w:rFonts w:ascii="Times New Roman" w:cs="Times New Roman" w:eastAsia="Times New Roman" w:hAnsi="Times New Roman"/>
          <w:b w:val="false"/>
          <w:bCs w:val="false"/>
          <w:caps w:val="false"/>
          <w:color w:val="000000"/>
          <w:sz w:val="24"/>
          <w:szCs w:val="24"/>
        </w:rPr>
        <w:t xml:space="preserve">Extending the framework to EU EPC datasets from France, Germany, and the Netherlands would test the generalisability of PP-XAI beyond the England and Wales context.</w:t>
      </w:r>
    </w:p>
    <w:p>
      <w:pPr>
        <w:spacing w:after="160" w:before="0" w:line="360" w:lineRule="auto"/>
        <w:jc w:val="both"/>
      </w:pPr>
      <w:r>
        <w:rPr>
          <w:rFonts w:ascii="Times New Roman" w:cs="Times New Roman" w:eastAsia="Times New Roman" w:hAnsi="Times New Roman"/>
          <w:b/>
          <w:bCs/>
          <w:caps w:val="false"/>
          <w:color w:val="000000"/>
          <w:sz w:val="24"/>
          <w:szCs w:val="24"/>
        </w:rPr>
        <w:t xml:space="preserve">Multi-modal feature enrichment: </w:t>
      </w:r>
      <w:r>
        <w:rPr>
          <w:rFonts w:ascii="Times New Roman" w:cs="Times New Roman" w:eastAsia="Times New Roman" w:hAnsi="Times New Roman"/>
          <w:b w:val="false"/>
          <w:bCs w:val="false"/>
          <w:caps w:val="false"/>
          <w:color w:val="000000"/>
          <w:sz w:val="24"/>
          <w:szCs w:val="24"/>
        </w:rPr>
        <w:t xml:space="preserve">Incorporating smart meter data, weather normalisation, and building footprint geometry would likely improve R² substantially whilst retaining the FL privacy architecture.</w:t>
      </w:r>
    </w:p>
    <w:p>
      <w:pPr>
        <w:pStyle w:val="Heading2"/>
        <w:spacing w:after="120" w:before="280"/>
      </w:pPr>
      <w:r>
        <w:rPr>
          <w:rFonts w:ascii="Times New Roman" w:cs="Times New Roman" w:eastAsia="Times New Roman" w:hAnsi="Times New Roman"/>
          <w:b/>
          <w:bCs/>
          <w:color w:val="1F3864"/>
          <w:sz w:val="26"/>
          <w:szCs w:val="26"/>
        </w:rPr>
        <w:t xml:space="preserve">6.5 Closing Statement</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Privacy and explainability need not be traded away for competitive predictive performance. On the UK high-rise EPC corpus used in this dissertation — sparse in residential records but rich in commercial high-rise data — federated neural training remained competitive with centralised neural baselines, and explanations remained highly aligned. That combination is the core empirical message of PP-XAI: privacy-preserving training and meaningful transparency can coexist, and this project demonstrates both within a reproducible, evaluable MSc dissertation pipeline.</w:t>
      </w:r>
    </w:p>
    <w:p>
      <w:r>
        <w:br w:type="page"/>
      </w:r>
    </w:p>
    <w:p>
      <w:pPr>
        <w:pStyle w:val="Heading1"/>
        <w:spacing w:after="200" w:before="400"/>
      </w:pPr>
      <w:r>
        <w:rPr>
          <w:rFonts w:ascii="Times New Roman" w:cs="Times New Roman" w:eastAsia="Times New Roman" w:hAnsi="Times New Roman"/>
          <w:b/>
          <w:bCs/>
          <w:caps/>
          <w:color w:val="1F3864"/>
          <w:sz w:val="32"/>
          <w:szCs w:val="32"/>
        </w:rPr>
        <w:t xml:space="preserve">References</w:t>
      </w: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Amasyali, K. and El-Gohary, N.M. (2018) 'A review of data-driven building energy consumption prediction studies', Renewable and Sustainable Energy Reviews, 81, pp. 1192–1205.</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Beutel, D.J., Topal, T., Mathur, A., Qiu, X., Fernandez-Marques, J., Gao, Y., Sani, L., Li, K., Parcollet, T., de Gusmão, P.P.B. and Lane, N.D. (2020) 'Flower: A Friendly Federated Learning Research Framework', arXiv preprint arXiv:2007.14390.</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Chen, Z., Xiao, F., Guo, F. and Yan, J. (2023) 'Interpretable machine learning for building energy management: A state-of-the-art review', Energy and Buildings, 292, article 113163.</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Doshi-Velez, F. and Kim, B. (2017) 'Towards a rigorous science of interpretable machine learning', arXiv preprint arXiv:1702.08608.</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European Commission (2024) Directive (EU) 2024/1275 on the Energy Performance of Buildings (EPBD Recast). Official Journal of the European Union.</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European Parliament (2024) Regulation (EU) 2024/1689 Laying Down Harmonised Rules on Artificial Intelligence (Artificial Intelligence Act). Official Journal of the European Union.</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Li, T., Sahu, A.K., Zaheer, M., Sanjabi, M., Talwalkar, A. and Smith, V. (2020) 'Federated optimization in heterogeneous networks', Proceedings of Machine Learning and Systems, 2, pp. 429–450.</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Lundberg, S.M. and Lee, S.-I. (2017) 'A unified approach to interpreting model predictions', Advances in Neural Information Processing Systems, 30.</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McMahan, H.B., Moore, E., Ramage, D., Hampson, S. and Agüera y Arcas, B. (2017) 'Communication-efficient learning of deep networks from decentralized data', Proceedings of the 20th International Conference on Artificial Intelligence and Statistics (AISTATS), pp. 1273–1282.</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Ministry of Housing, Communities and Local Government (2024) Energy Performance of Buildings Data: England and Wales. Open Government Licence v3.0. Available at: https://get-energy-performance-data.communities.gov.uk/ (Accessed: July 2026).</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Molnar, C. (2022) Interpretable Machine Learning: A Guide for Making Black Box Models Explainable. 2nd edn. Munich: Leanpub.</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Ribeiro, M.T., Singh, S. and Guestrin, C. (2016) '"Why should I trust you?" Explaining the predictions of any classifier', Proceedings of the 22nd ACM SIGKDD International Conference on Knowledge Discovery and Data Mining, pp. 1135–1144.</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Slack, D., Hilgard, S., Jia, E., Singh, S. and Lakkaraju, H. (2020) 'Fooling LIME and SHAP: Adversarial attacks on post hoc explanation methods', Proceedings of the AAAI/ACM Conference on AI, Ethics, and Society (AIES), pp. 180–186.</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Wei, Y., Xia, L., Pan, M., Wu, J., Zhang, X., Han, M., Zhang, W., Xie, J. and Li, Q. (2018) 'A review of data-driven approaches for prediction and classification of building energy consumption', Renewable and Sustainable Energy Reviews, 82, pp. 1027–1047.</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Zhou, G., Moayedi, H., Bahiraei, M. and Lyu, Z. (2020) 'Employing artificial bee colony and particle swarm techniques for optimizing a neural network in prediction of heating and cooling loads of residential buildings', Journal of Cleaner Production, 254, article 120082.</w:t>
      </w:r>
    </w:p>
    <w:p>
      <w:r>
        <w:br w:type="page"/>
      </w:r>
    </w:p>
    <w:p>
      <w:pPr>
        <w:pStyle w:val="Heading1"/>
        <w:spacing w:after="200" w:before="400"/>
      </w:pPr>
      <w:r>
        <w:rPr>
          <w:rFonts w:ascii="Times New Roman" w:cs="Times New Roman" w:eastAsia="Times New Roman" w:hAnsi="Times New Roman"/>
          <w:b/>
          <w:bCs/>
          <w:caps/>
          <w:color w:val="1F3864"/>
          <w:sz w:val="32"/>
          <w:szCs w:val="32"/>
        </w:rPr>
        <w:t xml:space="preserve">Appendix A — Reproducibility and Environment Notes</w:t>
      </w:r>
    </w:p>
    <w:p>
      <w:pPr>
        <w:pStyle w:val="Heading2"/>
        <w:spacing w:after="120" w:before="280"/>
      </w:pPr>
      <w:r>
        <w:rPr>
          <w:rFonts w:ascii="Times New Roman" w:cs="Times New Roman" w:eastAsia="Times New Roman" w:hAnsi="Times New Roman"/>
          <w:b/>
          <w:bCs/>
          <w:color w:val="1F3864"/>
          <w:sz w:val="26"/>
          <w:szCs w:val="26"/>
        </w:rPr>
        <w:t xml:space="preserve">A.1 Repository Layout</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project codebase is organised as follows:</w:t>
      </w:r>
    </w:p>
    <w:p>
      <w:pPr>
        <w:spacing w:after="120" w:before="0" w:line="360" w:lineRule="auto"/>
        <w:jc w:val="both"/>
      </w:pPr>
      <w:r>
        <w:rPr>
          <w:rFonts w:ascii="Times New Roman" w:cs="Times New Roman" w:eastAsia="Times New Roman" w:hAnsi="Times New Roman"/>
          <w:b w:val="false"/>
          <w:bCs w:val="false"/>
          <w:caps w:val="false"/>
          <w:color w:val="000000"/>
          <w:sz w:val="24"/>
          <w:szCs w:val="24"/>
        </w:rPr>
        <w:t xml:space="preserve">Building-Energy-Prediction/
├── raw-data/                 # EPC certificates (not in git)
├── data/processed/           # filtered CSVs, npy arrays, preprocessor
├── data/federated/           # client_*.csv and X_*/y_* arrays
├── data/raw/osm/             # OSM high-rise GeoJSON
├── src/data|models|federated|xai|evaluation|webapp
├── scripts/                  # run_all, load, preprocess, baselines, FL, XAI, eval
├── results/figures|tables|models
├── dissertation/
└── dev-docs/</w:t>
      </w:r>
    </w:p>
    <w:p>
      <w:pPr>
        <w:pStyle w:val="Heading2"/>
        <w:spacing w:after="120" w:before="280"/>
      </w:pPr>
      <w:r>
        <w:rPr>
          <w:rFonts w:ascii="Times New Roman" w:cs="Times New Roman" w:eastAsia="Times New Roman" w:hAnsi="Times New Roman"/>
          <w:b/>
          <w:bCs/>
          <w:color w:val="1F3864"/>
          <w:sz w:val="26"/>
          <w:szCs w:val="26"/>
        </w:rPr>
        <w:t xml:space="preserve">A.2 Launch Commands</w:t>
      </w:r>
    </w:p>
    <w:p>
      <w:pPr>
        <w:spacing w:after="120" w:before="0" w:line="360" w:lineRule="auto"/>
        <w:jc w:val="both"/>
      </w:pPr>
      <w:r>
        <w:rPr>
          <w:rFonts w:ascii="Times New Roman" w:cs="Times New Roman" w:eastAsia="Times New Roman" w:hAnsi="Times New Roman"/>
          <w:b w:val="false"/>
          <w:bCs w:val="false"/>
          <w:caps w:val="false"/>
          <w:color w:val="000000"/>
          <w:sz w:val="24"/>
          <w:szCs w:val="24"/>
        </w:rPr>
        <w:t xml:space="preserve"># Full pipeline:
arch -arm64 /bin/zsh -c 'source scripts/env.sh &amp;&amp; /bin/bash scripts/run_all.sh'
# Web application:
arch -arm64 /bin/zsh -c 'source scripts/env.sh &amp;&amp; streamlit run src/webapp/app.py'</w:t>
      </w:r>
    </w:p>
    <w:p>
      <w:pPr>
        <w:pStyle w:val="Heading2"/>
        <w:spacing w:after="120" w:before="280"/>
      </w:pPr>
      <w:r>
        <w:rPr>
          <w:rFonts w:ascii="Times New Roman" w:cs="Times New Roman" w:eastAsia="Times New Roman" w:hAnsi="Times New Roman"/>
          <w:b/>
          <w:bCs/>
          <w:color w:val="1F3864"/>
          <w:sz w:val="26"/>
          <w:szCs w:val="26"/>
        </w:rPr>
        <w:t xml:space="preserve">A.3 Known Pitfalls</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/usr/local/bin/bash is x86 Homebrew — do not arch -arm64 bash.</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Setting DYLD_LIBRARY_PATH to .deps/libomp breaks NumPy.</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LightGBM may hang without OMP_NUM_THREADS=1 / n_jobs=1 on macOS.</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Conda (base) + Rosetta can force x86 Python against arm64 wheels.</w:t>
      </w:r>
    </w:p>
    <w:p>
      <w:pPr>
        <w:spacing w:after="80" w:before="0"/>
      </w:pPr>
    </w:p>
    <w:p>
      <w:pPr>
        <w:pStyle w:val="Heading2"/>
        <w:spacing w:after="120" w:before="280"/>
      </w:pPr>
      <w:r>
        <w:rPr>
          <w:rFonts w:ascii="Times New Roman" w:cs="Times New Roman" w:eastAsia="Times New Roman" w:hAnsi="Times New Roman"/>
          <w:b/>
          <w:bCs/>
          <w:color w:val="1F3864"/>
          <w:sz w:val="26"/>
          <w:szCs w:val="26"/>
        </w:rPr>
        <w:t xml:space="preserve">A.4 Objective-to-Artefact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Objective</w:t>
            </w:r>
          </w:p>
        </w:tc>
        <w:tc>
          <w:tcPr>
            <w:tcW w:type="dxa" w:w="686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Key Artefacts</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O1 Baselines</w:t>
            </w:r>
          </w:p>
        </w:tc>
        <w:tc>
          <w:tcPr>
            <w:tcW w:type="dxa" w:w="6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results/tables/baseline_metrics.json, model joblibs in results/models/centralised/</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O2 FL</w:t>
            </w:r>
          </w:p>
        </w:tc>
        <w:tc>
          <w:tcPr>
            <w:tcW w:type="dxa" w:w="6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results/tables/federated_metrics.json, results/models/federated/federated_mlp.pt</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O3 XAI</w:t>
            </w:r>
          </w:p>
        </w:tc>
        <w:tc>
          <w:tcPr>
            <w:tcW w:type="dxa" w:w="6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results/figures/shap_importance_*.png/.csv, results/figures/lime_*.png</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O4 Comparison</w:t>
            </w:r>
          </w:p>
        </w:tc>
        <w:tc>
          <w:tcPr>
            <w:tcW w:type="dxa" w:w="6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results/tables/model_comparison.csv, statistical_tests.json, xai_stability.json</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O5 Prototype</w:t>
            </w:r>
          </w:p>
        </w:tc>
        <w:tc>
          <w:tcPr>
            <w:tcW w:type="dxa" w:w="6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src/webapp/app.py, verified at localhost:8501 on 18 July 2026</w:t>
            </w:r>
          </w:p>
        </w:tc>
      </w:tr>
    </w:tbl>
    <w:p>
      <w:r>
        <w:br w:type="page"/>
      </w:r>
    </w:p>
    <w:p>
      <w:pPr>
        <w:pStyle w:val="Heading1"/>
        <w:spacing w:after="200" w:before="400"/>
      </w:pPr>
      <w:r>
        <w:rPr>
          <w:rFonts w:ascii="Times New Roman" w:cs="Times New Roman" w:eastAsia="Times New Roman" w:hAnsi="Times New Roman"/>
          <w:b/>
          <w:bCs/>
          <w:caps/>
          <w:color w:val="1F3864"/>
          <w:sz w:val="32"/>
          <w:szCs w:val="32"/>
        </w:rPr>
        <w:t xml:space="preserve">Appendix B — Extended Results Narrative</w:t>
      </w:r>
    </w:p>
    <w:p>
      <w:pPr>
        <w:pStyle w:val="Heading2"/>
        <w:spacing w:after="120" w:before="280"/>
      </w:pPr>
      <w:r>
        <w:rPr>
          <w:rFonts w:ascii="Times New Roman" w:cs="Times New Roman" w:eastAsia="Times New Roman" w:hAnsi="Times New Roman"/>
          <w:b/>
          <w:bCs/>
          <w:color w:val="1F3864"/>
          <w:sz w:val="26"/>
          <w:szCs w:val="26"/>
        </w:rPr>
        <w:t xml:space="preserve">B.1 Why Sparsity is Informative</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5,663 filtered records from over 14 million scanned rows represent approximately 0.04% retention. Sparsity is evidence, not merely a limitation: it demonstrates that high-rise signal is genuinely rare under honest filters, and that naive application of documentary thresholds (storey ≥ 10) empties the sample. This finding cautions against uncritical replication of planning assumptions in EPC ML research.</w:t>
      </w:r>
    </w:p>
    <w:p>
      <w:pPr>
        <w:pStyle w:val="Heading2"/>
        <w:spacing w:after="120" w:before="280"/>
      </w:pPr>
      <w:r>
        <w:rPr>
          <w:rFonts w:ascii="Times New Roman" w:cs="Times New Roman" w:eastAsia="Times New Roman" w:hAnsi="Times New Roman"/>
          <w:b/>
          <w:bCs/>
          <w:color w:val="1F3864"/>
          <w:sz w:val="26"/>
          <w:szCs w:val="26"/>
        </w:rPr>
        <w:t xml:space="preserve">B.2 Federated Round Dynamics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Round 1's negative R² reflects an under-trained global MLP receiving first-round updates from clients with initialised (random) weights. Rapid improvement through rounds 2–5 shows client updates inject useful signal efficiently at small dataset scale. Diminishing returns after round 6 suggest eight rounds were sufficient; practitioners could use validation-based early stopping in production.</w:t>
      </w:r>
    </w:p>
    <w:p>
      <w:pPr>
        <w:pStyle w:val="Heading2"/>
        <w:spacing w:after="120" w:before="280"/>
      </w:pPr>
      <w:r>
        <w:rPr>
          <w:rFonts w:ascii="Times New Roman" w:cs="Times New Roman" w:eastAsia="Times New Roman" w:hAnsi="Times New Roman"/>
          <w:b/>
          <w:bCs/>
          <w:color w:val="1F3864"/>
          <w:sz w:val="26"/>
          <w:szCs w:val="26"/>
        </w:rPr>
        <w:t xml:space="preserve">B.3 Practical vs Statistical Significance</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Wilcoxon and t-tests detect a MAE gap of approximately 5 kWh/m²/year (80 vs 85). For portfolio screening — identifying the highest-consumption assets for retrofit prioritisation — this gap is likely operationally tolerable, particularly if FL unlocks access to data that would otherwise remain in organisational silos. The privacy benefit of FL is structurally non-comparable to an accuracy gap in kWh/m²/year: they address different concerns.</w:t>
      </w:r>
    </w:p>
    <w:p>
      <w:pPr>
        <w:pStyle w:val="Heading2"/>
        <w:spacing w:after="120" w:before="280"/>
      </w:pPr>
      <w:r>
        <w:rPr>
          <w:rFonts w:ascii="Times New Roman" w:cs="Times New Roman" w:eastAsia="Times New Roman" w:hAnsi="Times New Roman"/>
          <w:b/>
          <w:bCs/>
          <w:color w:val="1F3864"/>
          <w:sz w:val="26"/>
          <w:szCs w:val="26"/>
        </w:rPr>
        <w:t xml:space="preserve">B.4 Figure Reference Guide</w:t>
      </w:r>
    </w:p>
    <w:p>
      <w:pPr>
        <w:pStyle w:val="Normal"/>
      </w:pPr>
      <w:r>
        <w:rPr>
          <w:rFonts w:ascii="Times New Roman" w:hAnsi="Times New Roman" w:eastAsia="Times New Roman"/>
          <w:b w:val="0"/>
          <w:i w:val="0"/>
          <w:sz w:val="22"/>
        </w:rPr>
        <w:t>Figure 4.1 eda_target_hist.png — target distribution is right-skewed; justify clipping.</w:t>
      </w:r>
    </w:p>
    <w:p>
      <w:pPr>
        <w:pStyle w:val="Normal"/>
      </w:pPr>
      <w:r>
        <w:rPr>
          <w:rFonts w:ascii="Times New Roman" w:hAnsi="Times New Roman" w:eastAsia="Times New Roman"/>
          <w:b w:val="0"/>
          <w:i w:val="0"/>
          <w:sz w:val="22"/>
        </w:rPr>
        <w:t>Figure 4.2 eda_city_counts.png — London dominates sample size.</w:t>
      </w:r>
    </w:p>
    <w:p>
      <w:pPr>
        <w:pStyle w:val="Normal"/>
      </w:pPr>
      <w:r>
        <w:rPr>
          <w:rFonts w:ascii="Times New Roman" w:hAnsi="Times New Roman" w:eastAsia="Times New Roman"/>
          <w:b w:val="0"/>
          <w:i w:val="0"/>
          <w:sz w:val="22"/>
        </w:rPr>
        <w:t>Figure 4.3 eda_energy_by_city.png — means similar → mild non-IID.</w:t>
      </w:r>
    </w:p>
    <w:p>
      <w:pPr>
        <w:pStyle w:val="Normal"/>
      </w:pPr>
      <w:r>
        <w:rPr>
          <w:rFonts w:ascii="Times New Roman" w:hAnsi="Times New Roman" w:eastAsia="Times New Roman"/>
          <w:b w:val="0"/>
          <w:i w:val="0"/>
          <w:sz w:val="22"/>
        </w:rPr>
        <w:t>Figure 4.4 eda_area_vs_energy.png — cross-sectional area–energy scatter.</w:t>
      </w:r>
    </w:p>
    <w:p>
      <w:pPr>
        <w:pStyle w:val="Normal"/>
      </w:pPr>
      <w:r>
        <w:rPr>
          <w:rFonts w:ascii="Times New Roman" w:hAnsi="Times New Roman" w:eastAsia="Times New Roman"/>
          <w:b w:val="0"/>
          <w:i w:val="0"/>
          <w:sz w:val="22"/>
        </w:rPr>
        <w:t>Figure 4.5 baseline_rmse.png — Gradient Boosting wins among central models.</w:t>
      </w:r>
    </w:p>
    <w:p>
      <w:pPr>
        <w:pStyle w:val="Normal"/>
      </w:pPr>
      <w:r>
        <w:rPr>
          <w:rFonts w:ascii="Times New Roman" w:hAnsi="Times New Roman" w:eastAsia="Times New Roman"/>
          <w:b w:val="0"/>
          <w:i w:val="0"/>
          <w:sz w:val="22"/>
        </w:rPr>
        <w:t>Figure 4.6 baseline_r2.png — moderate absolute R² for EPC intensity.</w:t>
      </w:r>
    </w:p>
    <w:p>
      <w:pPr>
        <w:pStyle w:val="Normal"/>
      </w:pPr>
      <w:r>
        <w:rPr>
          <w:rFonts w:ascii="Times New Roman" w:hAnsi="Times New Roman" w:eastAsia="Times New Roman"/>
          <w:b w:val="0"/>
          <w:i w:val="0"/>
          <w:sz w:val="22"/>
        </w:rPr>
        <w:t>Figure 4.7 pred_vs_actual_gradient_boosting.png — errors grow with magnitude.</w:t>
      </w:r>
    </w:p>
    <w:p>
      <w:r>
        <w:rPr>
          <w:rFonts w:ascii="Times New Roman" w:hAnsi="Times New Roman"/>
          <w:sz w:val="22"/>
        </w:rPr>
        <w:t>Figure 4.7b pred_vs_actual_mlp.png — central MLP residuals on held-out test set.</w:t>
      </w:r>
    </w:p>
    <w:p>
      <w:pPr>
        <w:pStyle w:val="Normal"/>
      </w:pPr>
      <w:r>
        <w:rPr>
          <w:rFonts w:ascii="Times New Roman" w:hAnsi="Times New Roman" w:eastAsia="Times New Roman"/>
          <w:b w:val="0"/>
          <w:i w:val="0"/>
          <w:sz w:val="22"/>
        </w:rPr>
        <w:t>Figure 4.8 federated_convergence.png — FL learns across rounds.</w:t>
      </w:r>
    </w:p>
    <w:p>
      <w:pPr>
        <w:pStyle w:val="Normal"/>
      </w:pPr>
      <w:r>
        <w:rPr>
          <w:rFonts w:ascii="Times New Roman" w:hAnsi="Times New Roman" w:eastAsia="Times New Roman"/>
          <w:b w:val="0"/>
          <w:i w:val="0"/>
          <w:sz w:val="22"/>
        </w:rPr>
        <w:t>Figure 4.9 pred_vs_actual_federated.png — federated residuals vs actual.</w:t>
      </w:r>
    </w:p>
    <w:p>
      <w:pPr>
        <w:pStyle w:val="Normal"/>
      </w:pPr>
      <w:r>
        <w:rPr>
          <w:rFonts w:ascii="Times New Roman" w:hAnsi="Times New Roman" w:eastAsia="Times New Roman"/>
          <w:b w:val="0"/>
          <w:i w:val="0"/>
          <w:sz w:val="22"/>
        </w:rPr>
        <w:t>Figure 4.10 shap_comparison.png — central vs federated SHAP agreement.</w:t>
      </w:r>
    </w:p>
    <w:p>
      <w:pPr>
        <w:pStyle w:val="Normal"/>
      </w:pPr>
      <w:r>
        <w:rPr>
          <w:rFonts w:ascii="Times New Roman" w:hAnsi="Times New Roman" w:eastAsia="Times New Roman"/>
          <w:b w:val="0"/>
          <w:i w:val="0"/>
          <w:sz w:val="22"/>
        </w:rPr>
        <w:t>Figure 4.11 fig3_shap_summary_federated.png — federated SHAP summary.</w:t>
      </w:r>
    </w:p>
    <w:p>
      <w:pPr>
        <w:pStyle w:val="Normal"/>
      </w:pPr>
      <w:r>
        <w:rPr>
          <w:rFonts w:ascii="Times New Roman" w:hAnsi="Times New Roman" w:eastAsia="Times New Roman"/>
          <w:b w:val="0"/>
          <w:i w:val="0"/>
          <w:sz w:val="22"/>
        </w:rPr>
        <w:t>Figure 4.12 Streamlit prototype screenshot — interactive PP-XAI demo.</w:t>
      </w:r>
    </w:p>
    <w:p>
      <w:r>
        <w:rPr>
          <w:rFonts w:ascii="Times New Roman" w:hAnsi="Times New Roman"/>
          <w:sz w:val="22"/>
        </w:rPr>
        <w:t>Figure 4.13 federated_convergence_20rounds.png — FedAvg vs FedProx to 20 rounds with central baselines.</w:t>
      </w:r>
    </w:p>
    <w:p>
      <w:r>
        <w:rPr>
          <w:rFonts w:ascii="Times New Roman" w:hAnsi="Times New Roman"/>
          <w:sz w:val="22"/>
        </w:rPr>
        <w:t>Figure 4.14 per_client_shap_comparison.png — H3 per-client SHAP / Jaccard consistency.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Figure File</w:t>
            </w:r>
          </w:p>
        </w:tc>
        <w:tc>
          <w:tcPr>
            <w:tcW w:type="dxa" w:w="586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Description for Viva</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eda_target_hist.png</w:t>
            </w:r>
          </w:p>
        </w:tc>
        <w:tc>
          <w:tcPr>
            <w:tcW w:type="dxa" w:w="5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Target distribution is right-skewed; justifies 1st–99th percentile clipping</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eda_city_counts.png</w:t>
            </w:r>
          </w:p>
        </w:tc>
        <w:tc>
          <w:tcPr>
            <w:tcW w:type="dxa" w:w="5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London dominates sample size — sample-size non-IID</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federated_convergence.png</w:t>
            </w:r>
          </w:p>
        </w:tc>
        <w:tc>
          <w:tcPr>
            <w:tcW w:type="dxa" w:w="5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FL learns across rounds; convergence by round 5–6</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shap_comparison.png</w:t>
            </w:r>
          </w:p>
        </w:tc>
        <w:tc>
          <w:tcPr>
            <w:tcW w:type="dxa" w:w="5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Centralised vs federated SHAP — high visual agreement (Figure 4.1)</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pred_vs_actual_*.png</w:t>
            </w:r>
          </w:p>
        </w:tc>
        <w:tc>
          <w:tcPr>
            <w:tcW w:type="dxa" w:w="5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Errors grow with magnitude; heteroscedastic energy data</w:t>
            </w:r>
          </w:p>
        </w:tc>
      </w:tr>
    </w:tbl>
    <w:p>
      <w:r>
        <w:br w:type="page"/>
      </w:r>
    </w:p>
    <w:p>
      <w:pPr>
        <w:pStyle w:val="Heading1"/>
        <w:spacing w:after="200" w:before="400"/>
      </w:pPr>
      <w:r>
        <w:rPr>
          <w:rFonts w:ascii="Times New Roman" w:cs="Times New Roman" w:eastAsia="Times New Roman" w:hAnsi="Times New Roman"/>
          <w:b/>
          <w:bCs/>
          <w:caps/>
          <w:color w:val="1F3864"/>
          <w:sz w:val="32"/>
          <w:szCs w:val="32"/>
        </w:rPr>
        <w:t xml:space="preserve">Appendix C — Ethics, Licence, and Policy Notes</w:t>
      </w:r>
    </w:p>
    <w:p>
      <w:pPr>
        <w:pStyle w:val="Heading2"/>
        <w:spacing w:after="120" w:before="280"/>
      </w:pPr>
      <w:r>
        <w:rPr>
          <w:rFonts w:ascii="Times New Roman" w:cs="Times New Roman" w:eastAsia="Times New Roman" w:hAnsi="Times New Roman"/>
          <w:b/>
          <w:bCs/>
          <w:color w:val="1F3864"/>
          <w:sz w:val="26"/>
          <w:szCs w:val="26"/>
        </w:rPr>
        <w:t xml:space="preserve">C.1 Ethics Review Stance</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This dissertation analyses publicly licensed EPC open data and OSM building tags. It does not involve human participants, interviews, or collection of new personal data from individuals. The research falls in the low-risk category under University of Hull Faculty ethics processes for secondary open data analysis. Ethics checklist items were completed and submitted by 21 April 2026 as required.</w:t>
      </w:r>
    </w:p>
    <w:p>
      <w:pPr>
        <w:pStyle w:val="Heading2"/>
        <w:spacing w:after="120" w:before="280"/>
      </w:pPr>
      <w:r>
        <w:rPr>
          <w:rFonts w:ascii="Times New Roman" w:cs="Times New Roman" w:eastAsia="Times New Roman" w:hAnsi="Times New Roman"/>
          <w:b/>
          <w:bCs/>
          <w:color w:val="1F3864"/>
          <w:sz w:val="26"/>
          <w:szCs w:val="26"/>
        </w:rPr>
        <w:t xml:space="preserve">C.2 Open Government Licence Obligations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Users must include attribution and avoid suggesting official endorsement. Downstream products must not strip licence notices. Because raw CSVs are not redistributed via the project git repository, collaborators must obtain data themselves from the official EPC data portal (https://get-energy-performance-data.communities.gov.uk/).</w:t>
      </w:r>
    </w:p>
    <w:p>
      <w:pPr>
        <w:pStyle w:val="Heading2"/>
        <w:spacing w:after="120" w:before="280"/>
      </w:pPr>
      <w:r>
        <w:rPr>
          <w:rFonts w:ascii="Times New Roman" w:cs="Times New Roman" w:eastAsia="Times New Roman" w:hAnsi="Times New Roman"/>
          <w:b/>
          <w:bCs/>
          <w:color w:val="1F3864"/>
          <w:sz w:val="26"/>
          <w:szCs w:val="26"/>
        </w:rPr>
        <w:t xml:space="preserve">C.3 Privacy Considerations Beyond GDPR Slogans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Even open data can enable inference when combined with other sources. Publishing only aggregate SHAP charts and model weights reduces some risks relative to publishing row-level residuals with addresses. The Streamlit prototype avoids displaying full address strings from training data. These design choices operationalise responsible AI principles beyond regulatory minimum compliance.</w:t>
      </w:r>
    </w:p>
    <w:p>
      <w:pPr>
        <w:pStyle w:val="Heading2"/>
        <w:spacing w:after="120" w:before="280"/>
      </w:pPr>
      <w:r>
        <w:rPr>
          <w:rFonts w:ascii="Times New Roman" w:cs="Times New Roman" w:eastAsia="Times New Roman" w:hAnsi="Times New Roman"/>
          <w:b/>
          <w:bCs/>
          <w:color w:val="1F3864"/>
          <w:sz w:val="26"/>
          <w:szCs w:val="26"/>
        </w:rPr>
        <w:t xml:space="preserve">C.4 Scope of the Privacy Claim</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This MSc project does not claim protection against membership inference on model updates, model inversion attacks, or malicious server-side attacks. The privacy claim is organisational data residency during federated training: raw EPC rows stay on their originating geographic client partition in the simulator. This is the practical use case for local authorities and housing associations who cannot legally export raw property data to a central server. Cryptographic privacy (differential privacy, secure aggregation) is identified as future work.</w:t>
      </w:r>
    </w:p>
    <w:p>
      <w:pPr>
        <w:pStyle w:val="Heading2"/>
        <w:spacing w:after="120" w:before="280"/>
      </w:pPr>
      <w:r>
        <w:rPr>
          <w:rFonts w:ascii="Times New Roman" w:cs="Times New Roman" w:eastAsia="Times New Roman" w:hAnsi="Times New Roman"/>
          <w:b/>
          <w:bCs/>
          <w:color w:val="1F3864"/>
          <w:sz w:val="26"/>
          <w:szCs w:val="26"/>
        </w:rPr>
        <w:t xml:space="preserve">C.5 Policy Vignette</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Consider a local authority holding non-domestic EPCs for large floor-plate commercial assets and a neighbouring authority in the same combined authority. Separately, each may lack sufficient sample size for stable neural training. Together, via Federated Averaging, they can train a shared MLP. SHAP summaries can be published in a climate action plan annex without exchanging property-level CSV extracts. This vignette encapsulates the intended socio-technical contribution of PP-XAI, independent of any single R² figure.</w:t>
      </w:r>
    </w:p>
    <w:p>
      <w:r>
        <w:br w:type="page"/>
      </w:r>
    </w:p>
    <w:p>
      <w:pPr>
        <w:pStyle w:val="Heading1"/>
        <w:spacing w:after="200" w:before="400"/>
      </w:pPr>
      <w:r>
        <w:rPr>
          <w:rFonts w:ascii="Times New Roman" w:cs="Times New Roman" w:eastAsia="Times New Roman" w:hAnsi="Times New Roman"/>
          <w:b/>
          <w:bCs/>
          <w:caps/>
          <w:color w:val="1F3864"/>
          <w:sz w:val="32"/>
          <w:szCs w:val="32"/>
        </w:rPr>
        <w:t xml:space="preserve">Appendix D — Glossary and Abbreviations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Term</w:t>
            </w:r>
          </w:p>
        </w:tc>
        <w:tc>
          <w:tcPr>
            <w:tcW w:type="dxa" w:w="736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Definition</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EPC</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Energy Performance Certificate — UK regulatory document assessing building energy efficiency</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FL / FedAvg</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Federated Learning / Federated Averaging — training ML models without pooling raw data</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SHAP</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SHapley Additive exPlanations — feature attribution based on cooperative game theory</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LIME</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Local Interpretable Model-agnostic Explanations — local surrogate model for instance explanations</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PP-XAI</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Privacy-Preserving Explainable AI — this dissertation's integrated framework</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R²</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Coefficient of determination — fraction of target variance explained (1.0 = perfect)</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RMSE</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Root Mean Square Error — square root of mean squared prediction error</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MAE</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Mean Absolute Error — average absolute prediction error in original units</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MAPE</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Mean Absolute Percentage Error — relative prediction error (%)</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non-IID</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Non-Identically Independently Distributed — client datasets with differing distributions</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OGL</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Open Government Licence v3.0 — licence for UK EPC open data</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UPRN</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Unique Property Reference Number — stable UK property identifier</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OSM</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OpenStreetMap — open crowd-sourced map data</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MEES</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Minimum Energy Efficiency Standards — UK private rented sector EPC requirements</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EU AI Act</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European Parliament Regulation (EU) 2024/1689 on Artificial Intelligence</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EPBD</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Energy Performance of Buildings Directive (EU recast 2024)</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XAI</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Explainable Artificial Intelligence — methods making ML model decisions interpretable</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MLP</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Multilayer Perceptron — feed-forward neural network used as federated model</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RF</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Random Forest — ensemble of decision trees with bagging</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KernelExplainer</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SHAP model-agnostic approximation via Kernel SHAP sampling</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caps w:val="false"/>
        <w:color w:val="000000"/>
        <w:sz w:val="18"/>
        <w:szCs w:val="18"/>
      </w:rPr>
      <w:t xml:space="preserve">Student: 202440724 | MSc Applied Artificial Intelligence | University of Hull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abstractNum w:abstractNumId="3" w15:restartNumberingAfterBreak="0">
    <w:multiLevelType w:val="hybridMultilevel"/>
    <w:lvl w:ilvl="0" w15:tentative="1">
      <w:start w:val="1"/>
      <w:numFmt w:val="decimal"/>
      <w:lvlText w:val="%1."/>
      <w:lvlJc w:val="left"/>
      <w:pPr>
        <w:spacing w:after="80"/>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link w:val="Heading1Char"/>
    <w:uiPriority w:val="9"/>
    <w:qFormat/>
    <w:rsid w:val="007A1768"/>
    <w:pPr>
      <w:keepNext/>
      <w:keepLines/>
      <w:pageBreakBefore/>
      <w:numPr>
        <w:numId w:val="1"/>
      </w:numPr>
      <w:spacing w:line="240" w:lineRule="auto"/>
      <w:ind w:left="431" w:hanging="431"/>
      <w:outlineLvl w:val="0"/>
    </w:pPr>
    <w:rPr>
      <w:rFonts w:asciiTheme="majorHAnsi" w:eastAsiaTheme="majorEastAsia" w:hAnsiTheme="majorHAnsi" w:cstheme="majorBidi"/>
      <w:b/>
      <w:noProof/>
      <w:sz w:val="32"/>
      <w:szCs w:val="32"/>
    </w:rPr>
  </w:style>
  <w:style w:type="paragraph" w:styleId="Heading2">
    <w:name w:val="heading 2"/>
    <w:basedOn w:val="Normal"/>
    <w:next w:val="Normal"/>
    <w:link w:val="Heading2Char"/>
    <w:uiPriority w:val="9"/>
    <w:unhideWhenUsed/>
    <w:qFormat/>
    <w:rsid w:val="00A35434"/>
    <w:pPr>
      <w:keepNext/>
      <w:keepLines/>
      <w:numPr>
        <w:ilvl w:val="1"/>
        <w:numId w:val="1"/>
      </w:numPr>
      <w:spacing w:before="120" w:after="120" w:line="240" w:lineRule="auto"/>
      <w:outlineLvl w:val="1"/>
    </w:pPr>
    <w:rPr>
      <w:rFonts w:asciiTheme="majorHAnsi" w:eastAsiaTheme="majorEastAsia" w:hAnsiTheme="majorHAnsi" w:cstheme="majorBidi"/>
      <w:b/>
      <w:color w:val="000000" w:themeColor="text1"/>
      <w:sz w:val="28"/>
      <w:szCs w:val="26"/>
    </w:rPr>
  </w:style>
  <w:style w:type="paragraph" w:styleId="Heading3">
    <w:name w:val="heading 3"/>
    <w:basedOn w:val="Normal"/>
    <w:next w:val="Normal"/>
    <w:link w:val="Heading3Char"/>
    <w:uiPriority w:val="9"/>
    <w:unhideWhenUsed/>
    <w:qFormat/>
    <w:rsid w:val="00A35434"/>
    <w:pPr>
      <w:keepNext/>
      <w:keepLines/>
      <w:numPr>
        <w:ilvl w:val="2"/>
        <w:numId w:val="1"/>
      </w:numPr>
      <w:spacing w:before="40" w:after="120" w:line="240" w:lineRule="auto"/>
      <w:outlineLvl w:val="2"/>
    </w:pPr>
    <w:rPr>
      <w:rFonts w:asciiTheme="majorHAnsi" w:eastAsiaTheme="majorEastAsia" w:hAnsiTheme="majorHAnsi" w:cstheme="majorBidi"/>
      <w:b/>
      <w:color w:val="000000" w:themeColor="text1"/>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60" w:line="360" w:lineRule="auto"/>
      <w:jc w:val="both"/>
    </w:pPr>
    <w:rPr>
      <w:rFonts w:ascii="Times New Roman" w:cs="Times New Roman" w:eastAsia="Times New Roman" w:hAnsi="Times New Roman"/>
      <w:sz w:val="24"/>
      <w:szCs w:val="24"/>
    </w:rPr>
  </w:style>
  <w:style w:type="paragraph" w:styleId="TOCHeading">
    <w:name w:val="TOC Heading"/>
    <w:basedOn w:val="Headingfrontmatter"/>
    <w:next w:val="Normal"/>
    <w:uiPriority w:val="39"/>
    <w:unhideWhenUsed/>
    <w:qFormat/>
    <w:rsid w:val="004D4978"/>
  </w:style>
  <w:style w:type="paragraph" w:customStyle="1" w:styleId="Headingfrontmatter">
    <w:name w:val="Heading front matter"/>
    <w:basedOn w:val="Heading2"/>
    <w:next w:val="Normal"/>
    <w:qFormat/>
    <w:rsid w:val="002B750B"/>
    <w:pPr>
      <w:pageBreakBefore/>
      <w:numPr>
        <w:ilvl w:val="0"/>
        <w:numId w:val="0"/>
      </w:numPr>
    </w:pPr>
    <w:rPr>
      <w:sz w:val="32"/>
      <w:lang w:val="fr-FR"/>
    </w:rPr>
  </w:style>
  <w:style w:type="paragraph" w:customStyle="1" w:styleId="Headingbackmatter">
    <w:name w:val="Heading back matter"/>
    <w:basedOn w:val="Heading1"/>
    <w:qFormat/>
    <w:rsid w:val="009846EC"/>
    <w:pPr>
      <w:numPr>
        <w:numId w:val="0"/>
      </w:numPr>
    </w:pPr>
  </w:style>
  <w:style w:type="paragraph" w:customStyle="1" w:styleId="Captionextra">
    <w:name w:val="Caption extra"/>
    <w:basedOn w:val="Caption"/>
    <w:next w:val="Normal"/>
    <w:qFormat/>
    <w:rsid w:val="00E02105"/>
    <w:rPr>
      <w:noProof/>
      <w:lang w:val="en-US"/>
    </w:rPr>
  </w:style>
  <w:style w:type="character" w:customStyle="1" w:styleId="Heading1Char">
    <w:name w:val="Heading 1 Char"/>
    <w:basedOn w:val="DefaultParagraphFont"/>
    <w:link w:val="Heading1"/>
    <w:uiPriority w:val="9"/>
    <w:rsid w:val="007A1768"/>
    <w:rPr>
      <w:rFonts w:asciiTheme="majorHAnsi" w:eastAsiaTheme="majorEastAsia" w:hAnsiTheme="majorHAnsi" w:cstheme="majorBidi"/>
      <w:b/>
      <w:noProof/>
      <w:sz w:val="32"/>
      <w:szCs w:val="32"/>
    </w:rPr>
  </w:style>
  <w:style w:type="character" w:customStyle="1" w:styleId="Heading2Char">
    <w:name w:val="Heading 2 Char"/>
    <w:basedOn w:val="DefaultParagraphFont"/>
    <w:link w:val="Heading2"/>
    <w:uiPriority w:val="9"/>
    <w:rsid w:val="00A35434"/>
    <w:rPr>
      <w:rFonts w:asciiTheme="majorHAnsi" w:eastAsiaTheme="majorEastAsia" w:hAnsiTheme="majorHAnsi" w:cstheme="majorBidi"/>
      <w:b/>
      <w:color w:val="000000" w:themeColor="text1"/>
      <w:sz w:val="28"/>
      <w:szCs w:val="26"/>
    </w:rPr>
  </w:style>
  <w:style w:type="character" w:customStyle="1" w:styleId="Heading3Char">
    <w:name w:val="Heading 3 Char"/>
    <w:basedOn w:val="DefaultParagraphFont"/>
    <w:link w:val="Heading3"/>
    <w:uiPriority w:val="9"/>
    <w:rsid w:val="00A35434"/>
    <w:rPr>
      <w:rFonts w:asciiTheme="majorHAnsi" w:eastAsiaTheme="majorEastAsia" w:hAnsiTheme="majorHAnsi" w:cstheme="majorBidi"/>
      <w:b/>
      <w:color w:val="000000" w:themeColor="text1"/>
      <w:sz w:val="24"/>
      <w:szCs w:val="24"/>
    </w:rPr>
  </w:style>
  <w:style w:type="paragraph" w:styleId="Caption">
    <w:name w:val="caption"/>
    <w:basedOn w:val="Normal"/>
    <w:next w:val="Normal"/>
    <w:uiPriority w:val="35"/>
    <w:unhideWhenUsed/>
    <w:qFormat/>
    <w:rsid w:val="00E02105"/>
    <w:pPr>
      <w:spacing w:line="240" w:lineRule="auto"/>
    </w:pPr>
    <w:rPr>
      <w:iCs/>
      <w:sz w:val="20"/>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9b3ee9dc3fb61ab2ad3d92a5a5426acec09aedf.png"/><Relationship Id="rId9" Type="http://schemas.openxmlformats.org/officeDocument/2006/relationships/image" Target="media/9f0fc6bfab1b1bcda4a990c51d20a9f3e1ee7ec0.png"/><Relationship Id="rId10" Type="http://schemas.openxmlformats.org/officeDocument/2006/relationships/image" Target="media/61d9a61f83a1027f1359d6eac8da6573f9f15c64.png"/><Relationship Id="rId11" Type="http://schemas.openxmlformats.org/officeDocument/2006/relationships/fontTable" Target="fontTable.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pred_vs_actual_mlp.png"/><Relationship Id="rId22" Type="http://schemas.openxmlformats.org/officeDocument/2006/relationships/image" Target="media/image10.png"/><Relationship Id="rId23" Type="http://schemas.openxmlformats.org/officeDocument/2006/relationships/image" Target="media/image1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2026-07-21T09:11:43.960Z</dcterms:created>
  <dcterms:modified xsi:type="dcterms:W3CDTF">2026-07-21T09:11:43.971Z</dcterms:modified>
</cp:coreProperties>
</file>

<file path=docProps/custom.xml><?xml version="1.0" encoding="utf-8"?>
<Properties xmlns="http://schemas.openxmlformats.org/officeDocument/2006/custom-properties" xmlns:vt="http://schemas.openxmlformats.org/officeDocument/2006/docPropsVTypes"/>
</file>