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0"/>
      </w:pPr>
    </w:p>
    <w:p>
      <w:pPr>
        <w:spacing w:after="120" w:before="0"/>
        <w:jc w:val="center"/>
      </w:pPr>
      <w:r>
        <w:rPr>
          <w:rFonts w:ascii="Times New Roman" w:cs="Times New Roman" w:eastAsia="Times New Roman" w:hAnsi="Times New Roman"/>
          <w:b/>
          <w:bCs/>
          <w:caps/>
          <w:color w:val="1F3864"/>
          <w:sz w:val="26"/>
          <w:szCs w:val="26"/>
        </w:rPr>
        <w:t xml:space="preserve">UNIVERSITY OF HULL</w:t>
      </w:r>
    </w:p>
    <w:p>
      <w:pPr>
        <w:spacing w:after="80" w:before="0"/>
        <w:jc w:val="center"/>
      </w:pPr>
      <w:r>
        <w:rPr>
          <w:rFonts w:ascii="Times New Roman" w:cs="Times New Roman" w:eastAsia="Times New Roman" w:hAnsi="Times New Roman"/>
          <w:b w:val="false"/>
          <w:bCs w:val="false"/>
          <w:caps w:val="false"/>
          <w:color w:val="000000"/>
          <w:sz w:val="24"/>
          <w:szCs w:val="24"/>
        </w:rPr>
        <w:t xml:space="preserve">School of Computer Science</w:t>
      </w:r>
    </w:p>
    <w:p>
      <w:pPr>
        <w:spacing w:after="400" w:before="0"/>
      </w:pPr>
    </w:p>
    <w:p>
      <w:pPr>
        <w:spacing w:after="120" w:before="0"/>
        <w:jc w:val="center"/>
      </w:pPr>
      <w:r>
        <w:rPr>
          <w:rFonts w:ascii="Times New Roman" w:cs="Times New Roman" w:eastAsia="Times New Roman" w:hAnsi="Times New Roman"/>
          <w:b/>
          <w:bCs/>
          <w:caps w:val="false"/>
          <w:color w:val="1F3864"/>
          <w:sz w:val="36"/>
          <w:szCs w:val="36"/>
        </w:rPr>
        <w:t xml:space="preserve">Privacy-Preserving Explainable AI for Building Energy</w:t>
      </w:r>
    </w:p>
    <w:p>
      <w:pPr>
        <w:spacing w:after="120" w:before="0"/>
        <w:jc w:val="center"/>
      </w:pPr>
      <w:r>
        <w:rPr>
          <w:rFonts w:ascii="Times New Roman" w:cs="Times New Roman" w:eastAsia="Times New Roman" w:hAnsi="Times New Roman"/>
          <w:b/>
          <w:bCs/>
          <w:caps w:val="false"/>
          <w:color w:val="1F3864"/>
          <w:sz w:val="36"/>
          <w:szCs w:val="36"/>
        </w:rPr>
        <w:t xml:space="preserve">Performance Prediction: A Federated Learning Approach</w:t>
      </w:r>
    </w:p>
    <w:p>
      <w:pPr>
        <w:spacing w:after="400" w:before="0"/>
        <w:jc w:val="center"/>
      </w:pPr>
      <w:r>
        <w:rPr>
          <w:rFonts w:ascii="Times New Roman" w:cs="Times New Roman" w:eastAsia="Times New Roman" w:hAnsi="Times New Roman"/>
          <w:b/>
          <w:bCs/>
          <w:caps w:val="false"/>
          <w:color w:val="1F3864"/>
          <w:sz w:val="36"/>
          <w:szCs w:val="36"/>
        </w:rPr>
        <w:t xml:space="preserve">with SHAP and LIME Integration for High-Rise Structures</w:t>
      </w:r>
    </w:p>
    <w:p>
      <w:pPr>
        <w:spacing w:after="80" w:before="0"/>
        <w:jc w:val="center"/>
      </w:pPr>
      <w:r>
        <w:rPr>
          <w:rFonts w:ascii="Times New Roman" w:cs="Times New Roman" w:eastAsia="Times New Roman" w:hAnsi="Times New Roman"/>
          <w:b w:val="false"/>
          <w:bCs w:val="false"/>
          <w:caps w:val="false"/>
          <w:color w:val="000000"/>
          <w:sz w:val="28"/>
          <w:szCs w:val="28"/>
        </w:rPr>
        <w:t xml:space="preserve">PP-XAI Dissertation</w:t>
      </w:r>
    </w:p>
    <w:p>
      <w:pPr>
        <w:spacing w:after="400" w:before="0"/>
      </w:pPr>
    </w:p>
    <w:p>
      <w:pPr>
        <w:spacing w:after="80" w:before="0"/>
        <w:jc w:val="center"/>
      </w:pPr>
      <w:r>
        <w:rPr>
          <w:rFonts w:ascii="Times New Roman" w:cs="Times New Roman" w:eastAsia="Times New Roman" w:hAnsi="Times New Roman"/>
          <w:b/>
          <w:bCs/>
          <w:caps w:val="false"/>
          <w:color w:val="000000"/>
          <w:sz w:val="24"/>
          <w:szCs w:val="24"/>
        </w:rPr>
        <w:t xml:space="preserve">Submitted by: </w:t>
      </w:r>
      <w:r>
        <w:rPr>
          <w:rFonts w:ascii="Times New Roman" w:cs="Times New Roman" w:eastAsia="Times New Roman" w:hAnsi="Times New Roman"/>
          <w:b w:val="false"/>
          <w:bCs w:val="false"/>
          <w:caps w:val="false"/>
          <w:color w:val="000000"/>
          <w:sz w:val="24"/>
          <w:szCs w:val="24"/>
        </w:rPr>
        <w:t xml:space="preserve">Syed Ali Raza</w:t>
      </w:r>
    </w:p>
    <w:p>
      <w:pPr>
        <w:spacing w:after="80" w:before="0"/>
        <w:jc w:val="center"/>
      </w:pPr>
      <w:r>
        <w:rPr>
          <w:rFonts w:ascii="Times New Roman" w:cs="Times New Roman" w:eastAsia="Times New Roman" w:hAnsi="Times New Roman"/>
          <w:b/>
          <w:bCs/>
          <w:caps w:val="false"/>
          <w:color w:val="000000"/>
          <w:sz w:val="24"/>
          <w:szCs w:val="24"/>
        </w:rPr>
        <w:t xml:space="preserve">Student Number: </w:t>
      </w:r>
      <w:r>
        <w:rPr>
          <w:rFonts w:ascii="Times New Roman" w:cs="Times New Roman" w:eastAsia="Times New Roman" w:hAnsi="Times New Roman"/>
          <w:b w:val="false"/>
          <w:bCs w:val="false"/>
          <w:caps w:val="false"/>
          <w:color w:val="000000"/>
          <w:sz w:val="24"/>
          <w:szCs w:val="24"/>
        </w:rPr>
        <w:t xml:space="preserve">202440724</w:t>
      </w:r>
    </w:p>
    <w:p>
      <w:pPr>
        <w:spacing w:after="80" w:before="0"/>
        <w:jc w:val="center"/>
      </w:pPr>
      <w:r>
        <w:rPr>
          <w:rFonts w:ascii="Times New Roman" w:cs="Times New Roman" w:eastAsia="Times New Roman" w:hAnsi="Times New Roman"/>
          <w:b/>
          <w:bCs/>
          <w:caps w:val="false"/>
          <w:color w:val="000000"/>
          <w:sz w:val="24"/>
          <w:szCs w:val="24"/>
        </w:rPr>
        <w:t xml:space="preserve">Programme: </w:t>
      </w:r>
      <w:r>
        <w:rPr>
          <w:rFonts w:ascii="Times New Roman" w:cs="Times New Roman" w:eastAsia="Times New Roman" w:hAnsi="Times New Roman"/>
          <w:b w:val="false"/>
          <w:bCs w:val="false"/>
          <w:caps w:val="false"/>
          <w:color w:val="000000"/>
          <w:sz w:val="24"/>
          <w:szCs w:val="24"/>
        </w:rPr>
        <w:t xml:space="preserve">MSc Applied Artificial Intelligence</w:t>
      </w:r>
    </w:p>
    <w:p>
      <w:pPr>
        <w:spacing w:after="80" w:before="0"/>
        <w:jc w:val="center"/>
      </w:pPr>
      <w:r>
        <w:rPr>
          <w:rFonts w:ascii="Times New Roman" w:cs="Times New Roman" w:eastAsia="Times New Roman" w:hAnsi="Times New Roman"/>
          <w:b/>
          <w:bCs/>
          <w:caps w:val="false"/>
          <w:color w:val="000000"/>
          <w:sz w:val="24"/>
          <w:szCs w:val="24"/>
        </w:rPr>
        <w:t xml:space="preserve">Supervisor: </w:t>
      </w:r>
      <w:r>
        <w:rPr>
          <w:rFonts w:ascii="Times New Roman" w:cs="Times New Roman" w:eastAsia="Times New Roman" w:hAnsi="Times New Roman"/>
          <w:b w:val="false"/>
          <w:bCs w:val="false"/>
          <w:caps w:val="false"/>
          <w:color w:val="000000"/>
          <w:sz w:val="24"/>
          <w:szCs w:val="24"/>
        </w:rPr>
        <w:t xml:space="preserve">Mona</w:t>
      </w:r>
    </w:p>
    <w:p>
      <w:pPr>
        <w:spacing w:after="80" w:before="0"/>
        <w:jc w:val="center"/>
      </w:pPr>
      <w:r>
        <w:rPr>
          <w:rFonts w:ascii="Times New Roman" w:cs="Times New Roman" w:eastAsia="Times New Roman" w:hAnsi="Times New Roman"/>
          <w:b/>
          <w:bCs/>
          <w:caps w:val="false"/>
          <w:color w:val="000000"/>
          <w:sz w:val="24"/>
          <w:szCs w:val="24"/>
        </w:rPr>
        <w:t xml:space="preserve">Module: </w:t>
      </w:r>
      <w:r>
        <w:rPr>
          <w:rFonts w:ascii="Times New Roman" w:cs="Times New Roman" w:eastAsia="Times New Roman" w:hAnsi="Times New Roman"/>
          <w:b w:val="false"/>
          <w:bCs w:val="false"/>
          <w:caps w:val="false"/>
          <w:color w:val="000000"/>
          <w:sz w:val="24"/>
          <w:szCs w:val="24"/>
        </w:rPr>
        <w:t xml:space="preserve">771952</w:t>
      </w:r>
    </w:p>
    <w:p>
      <w:pPr>
        <w:spacing w:after="80" w:before="0"/>
        <w:jc w:val="center"/>
      </w:pPr>
      <w:r>
        <w:rPr>
          <w:rFonts w:ascii="Times New Roman" w:cs="Times New Roman" w:eastAsia="Times New Roman" w:hAnsi="Times New Roman"/>
          <w:b/>
          <w:bCs/>
          <w:caps w:val="false"/>
          <w:color w:val="000000"/>
          <w:sz w:val="24"/>
          <w:szCs w:val="24"/>
        </w:rPr>
        <w:t xml:space="preserve">Submission Date: </w:t>
      </w:r>
      <w:r>
        <w:rPr>
          <w:rFonts w:ascii="Times New Roman" w:cs="Times New Roman" w:eastAsia="Times New Roman" w:hAnsi="Times New Roman"/>
          <w:b w:val="false"/>
          <w:bCs w:val="false"/>
          <w:caps w:val="false"/>
          <w:color w:val="000000"/>
          <w:sz w:val="24"/>
          <w:szCs w:val="24"/>
        </w:rPr>
        <w:t xml:space="preserve">August 2026</w:t>
      </w:r>
    </w:p>
    <w:p>
      <w:pPr>
        <w:spacing w:after="300" w:before="0"/>
      </w:pPr>
    </w:p>
    <w:p>
      <w:pPr>
        <w:spacing w:after="80" w:before="0"/>
        <w:jc w:val="center"/>
      </w:pPr>
      <w:r>
        <w:rPr>
          <w:rFonts w:ascii="Times New Roman" w:cs="Times New Roman" w:eastAsia="Times New Roman" w:hAnsi="Times New Roman"/>
          <w:b w:val="false"/>
          <w:bCs w:val="false"/>
          <w:caps w:val="false"/>
          <w:color w:val="000000"/>
          <w:sz w:val="22"/>
          <w:szCs w:val="22"/>
        </w:rPr>
        <w:t xml:space="preserve">Submitted in partial fulfilment of the requirements for the degree of</w:t>
      </w:r>
    </w:p>
    <w:p>
      <w:pPr>
        <w:spacing w:after="80" w:before="0"/>
        <w:jc w:val="center"/>
      </w:pPr>
      <w:r>
        <w:rPr>
          <w:rFonts w:ascii="Times New Roman" w:cs="Times New Roman" w:eastAsia="Times New Roman" w:hAnsi="Times New Roman"/>
          <w:b/>
          <w:bCs/>
          <w:caps w:val="false"/>
          <w:color w:val="000000"/>
          <w:sz w:val="22"/>
          <w:szCs w:val="22"/>
        </w:rPr>
        <w:t xml:space="preserve">Master of Science in Applied Artificial Intelligence</w:t>
      </w:r>
    </w:p>
    <w:p>
      <w:r>
        <w:br w:type="page"/>
      </w:r>
    </w:p>
    <w:p>
      <w:pPr>
        <w:pStyle w:val="Heading1"/>
        <w:spacing w:after="200" w:before="400"/>
      </w:pPr>
      <w:r>
        <w:rPr>
          <w:rFonts w:ascii="Times New Roman" w:cs="Times New Roman" w:eastAsia="Times New Roman" w:hAnsi="Times New Roman"/>
          <w:b/>
          <w:bCs/>
          <w:caps/>
          <w:color w:val="1F3864"/>
          <w:sz w:val="32"/>
          <w:szCs w:val="32"/>
        </w:rPr>
        <w:t xml:space="preserve">Abstract</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Predicting building energy performance from Energy Performance Certificate (EPC) data can support retrofit prioritisation and portfolio analytics, but centralising microdata raises privacy and governance barriers — especially for high-rise residential and large commercial assets. This dissertation presents PP-XAI, a privacy-preserving explainable AI framework that combines Federated Averaging (FedAvg) with SHAP (SHapley Additive exPlanations) and LIME (Local Interpretable Model-agnostic Explanations) for high-rise building energy prediction on UK EPC open data.</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After auditing bulk export schemas, high-rise filters were revised: domestic flats with storey count ≥ 5 in London, Manchester, and Birmingham client partitions, and non-domestic buildings with floor area ≥ 5,000 m² excluding institutional types. Target-leaking emissions features were excluded to preserve scientific integrity. On 5,663 filtered records drawn from over 14 million scanned certificates, centralised gradient boosting achieved R² ≈ 0.559 (RMSE 113.04); a federated MLP reached R² ≈ 0.517 (RMSE 118.32) after eight rounds, closely matching a centralised MLP (R² 0.528). Spearman rank correlation of mean absolute SHAP values between centralised and federated models was ρ ≈ 0.956 (p &lt; 0.001). Statistical tests (Wilcoxon p = 1.06 × 10⁻⁵; paired t-test p = 4.98 × 10⁻⁵) confirm the accuracy gap, whilst its practical magnitude is modest relative to the privacy benefit.</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A Streamlit prototype demonstrates interactive prediction with global SHAP explanations and local LIME attributions, aligned with EU AI Act Article 13 transparency expectations. The results indicate that federated learning can approach centralised neural accuracy while preserving explanation stability, with honestly reported limitations regarding domestic tower coverage in bulk EPC storey metadata fields. This work contributes an audit-informed filter strategy, a reproducible federated XAI pipeline, and a stakeholder-facing demonstrator for privacy-preserving building energy analytics.</w:t>
      </w:r>
    </w:p>
    <w:p>
      <w:pPr>
        <w:spacing w:after="100" w:before="0"/>
      </w:pPr>
    </w:p>
    <w:p>
      <w:pPr>
        <w:spacing w:after="200" w:before="0" w:line="360" w:lineRule="auto"/>
        <w:jc w:val="both"/>
      </w:pPr>
      <w:r>
        <w:rPr>
          <w:rFonts w:ascii="Times New Roman" w:cs="Times New Roman" w:eastAsia="Times New Roman" w:hAnsi="Times New Roman"/>
          <w:b/>
          <w:bCs/>
          <w:caps w:val="false"/>
          <w:color w:val="000000"/>
          <w:sz w:val="24"/>
          <w:szCs w:val="24"/>
        </w:rPr>
        <w:t xml:space="preserve">Keywords: </w:t>
      </w:r>
      <w:r>
        <w:rPr>
          <w:rFonts w:ascii="Times New Roman" w:cs="Times New Roman" w:eastAsia="Times New Roman" w:hAnsi="Times New Roman"/>
          <w:b w:val="false"/>
          <w:bCs w:val="false"/>
          <w:caps w:val="false"/>
          <w:color w:val="000000"/>
          <w:sz w:val="24"/>
          <w:szCs w:val="24"/>
        </w:rPr>
        <w:t xml:space="preserve">Federated Learning; Explainable AI; SHAP; LIME; Energy Performance Certificates; High-rise buildings; Privacy-preserving machine learning; UK EPC data</w:t>
      </w:r>
    </w:p>
    <w:p>
      <w:r>
        <w:br w:type="page"/>
      </w:r>
    </w:p>
    <w:p>
      <w:pPr>
        <w:pStyle w:val="Heading1"/>
        <w:spacing w:after="200" w:before="400"/>
      </w:pPr>
      <w:r>
        <w:rPr>
          <w:rFonts w:ascii="Times New Roman" w:cs="Times New Roman" w:eastAsia="Times New Roman" w:hAnsi="Times New Roman"/>
          <w:b/>
          <w:bCs/>
          <w:caps/>
          <w:color w:val="1F3864"/>
          <w:sz w:val="32"/>
          <w:szCs w:val="32"/>
        </w:rPr>
        <w:t xml:space="preserve">Acknowledgements</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I would like to thank my supervisor Mona for guidance and constructive feedback throughout this project. Her direction helped shape the research focus and improved the quality of the analysis substantially.</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I acknowledge the University of Hull MSc Applied Artificial Intelligence programme team for their support. EPC open data providers are acknowledged under Open Government Licence v3.0; OpenStreetMap contributors are acknowledged under the Open Database Licence (ODbL). Any errors or omissions remain my own.</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Development was assisted by Cursor IDE with AI code-generation support; all experimental judgements, filter decisions, and analytical conclusions are my own.</w:t>
      </w:r>
    </w:p>
    <w:p>
      <w:r>
        <w:br w:type="page"/>
      </w:r>
    </w:p>
    <w:p>
      <w:pPr>
        <w:pStyle w:val="Heading1"/>
        <w:spacing w:after="200" w:before="400"/>
      </w:pPr>
      <w:r>
        <w:rPr>
          <w:rFonts w:ascii="Times New Roman" w:cs="Times New Roman" w:eastAsia="Times New Roman" w:hAnsi="Times New Roman"/>
          <w:b/>
          <w:bCs/>
          <w:caps/>
          <w:color w:val="1F3864"/>
          <w:sz w:val="32"/>
          <w:szCs w:val="32"/>
        </w:rPr>
        <w:t xml:space="preserve">Chapter 1 — Introduction</w:t>
      </w:r>
    </w:p>
    <w:p>
      <w:pPr>
        <w:pStyle w:val="Heading2"/>
        <w:spacing w:after="120" w:before="280"/>
      </w:pPr>
      <w:r>
        <w:rPr>
          <w:rFonts w:ascii="Times New Roman" w:cs="Times New Roman" w:eastAsia="Times New Roman" w:hAnsi="Times New Roman"/>
          <w:b/>
          <w:bCs/>
          <w:color w:val="1F3864"/>
          <w:sz w:val="26"/>
          <w:szCs w:val="26"/>
        </w:rPr>
        <w:t xml:space="preserve">1.1 Background and Motivation</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The United Kingdom's pathway to net-zero greenhouse gas emissions places buildings at the centre of national energy and climate policy. Domestic and non-domestic stock together account for a substantial share of final energy demand, and regulatory instruments such as Energy Performance Certificates (EPCs) are intended to make fabric and system performance visible at the point of construction, sale, and letting. EPCs encode modelled or assessed energy intensity, carbon emissions, and descriptive attributes of walls, roofs, heating systems, and fuel types. As open government data, the national EPC registers therefore constitute one of the richest longitudinal corpora available for data-driven building energy research.</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High-rise buildings occupy a distinctive position within this stock. Residential tower blocks concentrate many dwellings under a shared envelope and services strategy, raising both energy-intensity questions and strong privacy concerns: individual flat-level certificates can reveal occupancy-related patterns that engage GDPR protections (McMahan et al., 2017). Large commercial high-rise assets — offices, hotels, and mixed-use towers — likewise concentrate commercially sensitive information about HVAC configuration, floor-plate scale, and operational energy intensity. Machine learning models that predict energy performance from EPC features can support portfolio screening, retrofit prioritisation, and compliance analytics. However, conventional centralised training assumes that microdata can be pooled in a single repository, which for councils, housing associations, and commercial landlords may be organisationally or legally constrained.</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Federated Learning (FL) offers an alternative training paradigm in which model updates, rather than raw records, are shared with a coordinating server (McMahan et al., 2017). In parallel, explainable AI (XAI) methods such as SHAP (Lundberg and Lee, 2017) and LIME (Ribeiro, Singh and Guestrin, 2016) produce feature attributions that help stakeholders understand why a model predicted a given energy intensity. Emerging regulatory expectations — including transparency themes associated with the EU Artificial Intelligence Act (2024) — reinforce the need for explanations that remain meaningful when models are trained under privacy-preserving regimes. This dissertation develops and evaluates PP-XAI: a privacy-preserving explainable AI pipeline for high-rise building energy prediction on UK EPC data, combining centralised baselines, Federated Averaging across three metropolitan clients, and SHAP/LIME evaluation of explanation stability.</w:t>
      </w:r>
    </w:p>
    <w:p>
      <w:pPr>
        <w:pStyle w:val="Heading2"/>
        <w:spacing w:after="120" w:before="280"/>
      </w:pPr>
      <w:r>
        <w:rPr>
          <w:rFonts w:ascii="Times New Roman" w:cs="Times New Roman" w:eastAsia="Times New Roman" w:hAnsi="Times New Roman"/>
          <w:b/>
          <w:bCs/>
          <w:color w:val="1F3864"/>
          <w:sz w:val="26"/>
          <w:szCs w:val="26"/>
        </w:rPr>
        <w:t xml:space="preserve">1.2 Problem Statement</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Despite extensive literature on building energy prediction and a growing body of FL applications, three gaps remain salient for UK high-rise EPC analytics. First, operational definitions of 'high-rise' in open EPC bulk exports do not always match documentary assumptions: storey-count thresholds of ten or more may yield essentially zero domestic records in national bulk extracts. This represents a significant data quality challenge that has not been systematically addressed in prior work. Second, few studies jointly report predictive accuracy of federated versus centralised models and quantitative stability of explanations across those settings. Third, stakeholder-facing prototypes that couple prediction with global and local explanations are rarely delivered alongside reproducible pipelines suitable for an MSc dissertation timeline.</w:t>
      </w:r>
    </w:p>
    <w:p>
      <w:pPr>
        <w:pStyle w:val="Heading2"/>
        <w:spacing w:after="120" w:before="280"/>
      </w:pPr>
      <w:r>
        <w:rPr>
          <w:rFonts w:ascii="Times New Roman" w:cs="Times New Roman" w:eastAsia="Times New Roman" w:hAnsi="Times New Roman"/>
          <w:b/>
          <w:bCs/>
          <w:color w:val="1F3864"/>
          <w:sz w:val="26"/>
          <w:szCs w:val="26"/>
        </w:rPr>
        <w:t xml:space="preserve">1.3 Aim and Objectives</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The aim of this dissertation is to develop and evaluate a privacy-preserving explainable AI framework that combines Federated Learning with SHAP and LIME for predicting high-rise building energy performance using UK EPC certificates.</w:t>
      </w:r>
    </w:p>
    <w:p>
      <w:pPr>
        <w:spacing w:after="60" w:before="0"/>
      </w:pP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The specific objectives are:</w:t>
      </w:r>
    </w:p>
    <w:p>
      <w:pPr>
        <w:pStyle w:val="ListParagraph"/>
        <w:numPr>
          <w:ilvl w:val="0"/>
          <w:numId w:val="2"/>
        </w:numPr>
        <w:spacing w:after="80" w:before="0" w:line="360" w:lineRule="auto"/>
        <w:jc w:val="both"/>
      </w:pPr>
      <w:r>
        <w:rPr>
          <w:rFonts w:ascii="Times New Roman" w:cs="Times New Roman" w:eastAsia="Times New Roman" w:hAnsi="Times New Roman"/>
          <w:b/>
          <w:bCs/>
          <w:caps w:val="false"/>
          <w:color w:val="000000"/>
          <w:sz w:val="24"/>
          <w:szCs w:val="24"/>
        </w:rPr>
        <w:t xml:space="preserve">O1. </w:t>
      </w:r>
      <w:r>
        <w:rPr>
          <w:rFonts w:ascii="Times New Roman" w:cs="Times New Roman" w:eastAsia="Times New Roman" w:hAnsi="Times New Roman"/>
          <w:b w:val="false"/>
          <w:bCs w:val="false"/>
          <w:caps w:val="false"/>
          <w:color w:val="000000"/>
          <w:sz w:val="24"/>
          <w:szCs w:val="24"/>
        </w:rPr>
        <w:t xml:space="preserve">Implement centralised regression baselines (Random Forest, Gradient Boosting, XGBoost, LightGBM, MLP) for energy prediction on a filtered high-rise EPC corpus.</w:t>
      </w:r>
    </w:p>
    <w:p>
      <w:pPr>
        <w:pStyle w:val="ListParagraph"/>
        <w:numPr>
          <w:ilvl w:val="0"/>
          <w:numId w:val="2"/>
        </w:numPr>
        <w:spacing w:after="80" w:before="0" w:line="360" w:lineRule="auto"/>
        <w:jc w:val="both"/>
      </w:pPr>
      <w:r>
        <w:rPr>
          <w:rFonts w:ascii="Times New Roman" w:cs="Times New Roman" w:eastAsia="Times New Roman" w:hAnsi="Times New Roman"/>
          <w:b/>
          <w:bCs/>
          <w:caps w:val="false"/>
          <w:color w:val="000000"/>
          <w:sz w:val="24"/>
          <w:szCs w:val="24"/>
        </w:rPr>
        <w:t xml:space="preserve">O2. </w:t>
      </w:r>
      <w:r>
        <w:rPr>
          <w:rFonts w:ascii="Times New Roman" w:cs="Times New Roman" w:eastAsia="Times New Roman" w:hAnsi="Times New Roman"/>
          <w:b w:val="false"/>
          <w:bCs w:val="false"/>
          <w:caps w:val="false"/>
          <w:color w:val="000000"/>
          <w:sz w:val="24"/>
          <w:szCs w:val="24"/>
        </w:rPr>
        <w:t xml:space="preserve">Implement Federated Averaging across geographic clients (London, Manchester, Birmingham) without pooling raw client CSVs during federated training rounds.</w:t>
      </w:r>
    </w:p>
    <w:p>
      <w:pPr>
        <w:pStyle w:val="ListParagraph"/>
        <w:numPr>
          <w:ilvl w:val="0"/>
          <w:numId w:val="2"/>
        </w:numPr>
        <w:spacing w:after="80" w:before="0" w:line="360" w:lineRule="auto"/>
        <w:jc w:val="both"/>
      </w:pPr>
      <w:r>
        <w:rPr>
          <w:rFonts w:ascii="Times New Roman" w:cs="Times New Roman" w:eastAsia="Times New Roman" w:hAnsi="Times New Roman"/>
          <w:b/>
          <w:bCs/>
          <w:caps w:val="false"/>
          <w:color w:val="000000"/>
          <w:sz w:val="24"/>
          <w:szCs w:val="24"/>
        </w:rPr>
        <w:t xml:space="preserve">O3. </w:t>
      </w:r>
      <w:r>
        <w:rPr>
          <w:rFonts w:ascii="Times New Roman" w:cs="Times New Roman" w:eastAsia="Times New Roman" w:hAnsi="Times New Roman"/>
          <w:b w:val="false"/>
          <w:bCs w:val="false"/>
          <w:caps w:val="false"/>
          <w:color w:val="000000"/>
          <w:sz w:val="24"/>
          <w:szCs w:val="24"/>
        </w:rPr>
        <w:t xml:space="preserve">Integrate SHAP (global) and LIME (local) explanations for both centralised and federated models.</w:t>
      </w:r>
    </w:p>
    <w:p>
      <w:pPr>
        <w:pStyle w:val="ListParagraph"/>
        <w:numPr>
          <w:ilvl w:val="0"/>
          <w:numId w:val="2"/>
        </w:numPr>
        <w:spacing w:after="80" w:before="0" w:line="360" w:lineRule="auto"/>
        <w:jc w:val="both"/>
      </w:pPr>
      <w:r>
        <w:rPr>
          <w:rFonts w:ascii="Times New Roman" w:cs="Times New Roman" w:eastAsia="Times New Roman" w:hAnsi="Times New Roman"/>
          <w:b/>
          <w:bCs/>
          <w:caps w:val="false"/>
          <w:color w:val="000000"/>
          <w:sz w:val="24"/>
          <w:szCs w:val="24"/>
        </w:rPr>
        <w:t xml:space="preserve">O4. </w:t>
      </w:r>
      <w:r>
        <w:rPr>
          <w:rFonts w:ascii="Times New Roman" w:cs="Times New Roman" w:eastAsia="Times New Roman" w:hAnsi="Times New Roman"/>
          <w:b w:val="false"/>
          <w:bCs w:val="false"/>
          <w:caps w:val="false"/>
          <w:color w:val="000000"/>
          <w:sz w:val="24"/>
          <w:szCs w:val="24"/>
        </w:rPr>
        <w:t xml:space="preserve">Compare predictive accuracy using RMSE, MAE, R², and MAPE, and compare explanation stability using Spearman correlation of mean absolute SHAP values.</w:t>
      </w:r>
    </w:p>
    <w:p>
      <w:pPr>
        <w:pStyle w:val="ListParagraph"/>
        <w:numPr>
          <w:ilvl w:val="0"/>
          <w:numId w:val="2"/>
        </w:numPr>
        <w:spacing w:after="160" w:before="0" w:line="360" w:lineRule="auto"/>
        <w:jc w:val="both"/>
      </w:pPr>
      <w:r>
        <w:rPr>
          <w:rFonts w:ascii="Times New Roman" w:cs="Times New Roman" w:eastAsia="Times New Roman" w:hAnsi="Times New Roman"/>
          <w:b/>
          <w:bCs/>
          <w:caps w:val="false"/>
          <w:color w:val="000000"/>
          <w:sz w:val="24"/>
          <w:szCs w:val="24"/>
        </w:rPr>
        <w:t xml:space="preserve">O5. </w:t>
      </w:r>
      <w:r>
        <w:rPr>
          <w:rFonts w:ascii="Times New Roman" w:cs="Times New Roman" w:eastAsia="Times New Roman" w:hAnsi="Times New Roman"/>
          <w:b w:val="false"/>
          <w:bCs w:val="false"/>
          <w:caps w:val="false"/>
          <w:color w:val="000000"/>
          <w:sz w:val="24"/>
          <w:szCs w:val="24"/>
        </w:rPr>
        <w:t xml:space="preserve">Deliver a Streamlit prototype for interactive prediction with reference to SHAP summaries and LIME local explanations.</w:t>
      </w:r>
    </w:p>
    <w:p>
      <w:pPr>
        <w:pStyle w:val="Heading2"/>
        <w:spacing w:after="120" w:before="280"/>
      </w:pPr>
      <w:r>
        <w:rPr>
          <w:rFonts w:ascii="Times New Roman" w:cs="Times New Roman" w:eastAsia="Times New Roman" w:hAnsi="Times New Roman"/>
          <w:b/>
          <w:bCs/>
          <w:color w:val="1F3864"/>
          <w:sz w:val="26"/>
          <w:szCs w:val="26"/>
        </w:rPr>
        <w:t xml:space="preserve">1.4 Research Questions</w:t>
      </w:r>
    </w:p>
    <w:p>
      <w:pPr>
        <w:spacing w:after="80" w:before="0" w:line="360" w:lineRule="auto"/>
        <w:jc w:val="both"/>
      </w:pPr>
      <w:r>
        <w:rPr>
          <w:rFonts w:ascii="Times New Roman" w:cs="Times New Roman" w:eastAsia="Times New Roman" w:hAnsi="Times New Roman"/>
          <w:b/>
          <w:bCs/>
          <w:caps w:val="false"/>
          <w:color w:val="000000"/>
          <w:sz w:val="24"/>
          <w:szCs w:val="24"/>
        </w:rPr>
        <w:t xml:space="preserve">RQ1: </w:t>
      </w:r>
      <w:r>
        <w:rPr>
          <w:rFonts w:ascii="Times New Roman" w:cs="Times New Roman" w:eastAsia="Times New Roman" w:hAnsi="Times New Roman"/>
          <w:b w:val="false"/>
          <w:bCs w:val="false"/>
          <w:caps w:val="false"/>
          <w:color w:val="000000"/>
          <w:sz w:val="24"/>
          <w:szCs w:val="24"/>
        </w:rPr>
        <w:t xml:space="preserve">Can Federated Learning approach centralised regression accuracy while keeping client data local?</w:t>
      </w:r>
    </w:p>
    <w:p>
      <w:pPr>
        <w:spacing w:after="80" w:before="0" w:line="360" w:lineRule="auto"/>
        <w:jc w:val="both"/>
      </w:pPr>
      <w:r>
        <w:rPr>
          <w:rFonts w:ascii="Times New Roman" w:cs="Times New Roman" w:eastAsia="Times New Roman" w:hAnsi="Times New Roman"/>
          <w:b/>
          <w:bCs/>
          <w:caps w:val="false"/>
          <w:color w:val="000000"/>
          <w:sz w:val="24"/>
          <w:szCs w:val="24"/>
        </w:rPr>
        <w:t xml:space="preserve">RQ2: </w:t>
      </w:r>
      <w:r>
        <w:rPr>
          <w:rFonts w:ascii="Times New Roman" w:cs="Times New Roman" w:eastAsia="Times New Roman" w:hAnsi="Times New Roman"/>
          <w:b w:val="false"/>
          <w:bCs w:val="false"/>
          <w:caps w:val="false"/>
          <w:color w:val="000000"/>
          <w:sz w:val="24"/>
          <w:szCs w:val="24"/>
        </w:rPr>
        <w:t xml:space="preserve">How do SHAP and LIME explanations from federated models compare in stability to those from centralised equivalents?</w:t>
      </w:r>
    </w:p>
    <w:p>
      <w:pPr>
        <w:spacing w:after="80" w:before="0" w:line="360" w:lineRule="auto"/>
        <w:jc w:val="both"/>
      </w:pPr>
      <w:r>
        <w:rPr>
          <w:rFonts w:ascii="Times New Roman" w:cs="Times New Roman" w:eastAsia="Times New Roman" w:hAnsi="Times New Roman"/>
          <w:b/>
          <w:bCs/>
          <w:caps w:val="false"/>
          <w:color w:val="000000"/>
          <w:sz w:val="24"/>
          <w:szCs w:val="24"/>
        </w:rPr>
        <w:t xml:space="preserve">RQ3: </w:t>
      </w:r>
      <w:r>
        <w:rPr>
          <w:rFonts w:ascii="Times New Roman" w:cs="Times New Roman" w:eastAsia="Times New Roman" w:hAnsi="Times New Roman"/>
          <w:b w:val="false"/>
          <w:bCs w:val="false"/>
          <w:caps w:val="false"/>
          <w:color w:val="000000"/>
          <w:sz w:val="24"/>
          <w:szCs w:val="24"/>
        </w:rPr>
        <w:t xml:space="preserve">Which building features most influence high-rise energy predictions, and how consistent are attributions across training regimes?</w:t>
      </w:r>
    </w:p>
    <w:p>
      <w:pPr>
        <w:spacing w:after="160" w:before="0" w:line="360" w:lineRule="auto"/>
        <w:jc w:val="both"/>
      </w:pPr>
      <w:r>
        <w:rPr>
          <w:rFonts w:ascii="Times New Roman" w:cs="Times New Roman" w:eastAsia="Times New Roman" w:hAnsi="Times New Roman"/>
          <w:b/>
          <w:bCs/>
          <w:caps w:val="false"/>
          <w:color w:val="000000"/>
          <w:sz w:val="24"/>
          <w:szCs w:val="24"/>
        </w:rPr>
        <w:t xml:space="preserve">RQ4: </w:t>
      </w:r>
      <w:r>
        <w:rPr>
          <w:rFonts w:ascii="Times New Roman" w:cs="Times New Roman" w:eastAsia="Times New Roman" w:hAnsi="Times New Roman"/>
          <w:b w:val="false"/>
          <w:bCs w:val="false"/>
          <w:caps w:val="false"/>
          <w:color w:val="000000"/>
          <w:sz w:val="24"/>
          <w:szCs w:val="24"/>
        </w:rPr>
        <w:t xml:space="preserve">How can federated XAI frameworks support transparency requirements for building energy assessment applications?</w:t>
      </w:r>
    </w:p>
    <w:p>
      <w:pPr>
        <w:pStyle w:val="Heading2"/>
        <w:spacing w:after="120" w:before="280"/>
      </w:pPr>
      <w:r>
        <w:rPr>
          <w:rFonts w:ascii="Times New Roman" w:cs="Times New Roman" w:eastAsia="Times New Roman" w:hAnsi="Times New Roman"/>
          <w:b/>
          <w:bCs/>
          <w:color w:val="1F3864"/>
          <w:sz w:val="26"/>
          <w:szCs w:val="26"/>
        </w:rPr>
        <w:t xml:space="preserve">1.5 Revised High-Rise Definition</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The empirical scope is restricted to England and Wales EPC certificates lodged approximately 2018–2026, mapped to three federated clients corresponding to Greater London boroughs, Greater Manchester authorities, and West Midlands authorities centred on Birmingham. An empirical audit of bulk exports was fundamental to this research and revealed a critical data quality issue.</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Domestic (Scenario 1A, revised): Flats in client local authorities with flat_storey_count ≥ 5. An audit of bulk exports showed that flat_storey_count ≥ 10 yields essentially zero rows (2024 domestic maximum observed ≈ 8), and floor_level in the bulk schema is limited to low integer bands rather than true storey numbers. The ≥5 threshold is therefore an honest mid/high-rise proxy, documented transparently as a limitation. This audit finding is itself a contribution of the dissertation.</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Non-domestic (Scenario 1B): Buildings with floor_area ≥ 5,000 m², retaining office, hotel, retail, mixed, and industrial-like types while excluding schools, hospitals, places of worship, sports centres, and related institutional categories whose operational schedules would confound high-rise commercial modelling. The modelling target is primary_energy_value (bulk non-domestic schema field).</w:t>
      </w:r>
    </w:p>
    <w:p>
      <w:pPr>
        <w:pStyle w:val="Heading2"/>
        <w:spacing w:after="120" w:before="280"/>
      </w:pPr>
      <w:r>
        <w:rPr>
          <w:rFonts w:ascii="Times New Roman" w:cs="Times New Roman" w:eastAsia="Times New Roman" w:hAnsi="Times New Roman"/>
          <w:b/>
          <w:bCs/>
          <w:color w:val="1F3864"/>
          <w:sz w:val="26"/>
          <w:szCs w:val="26"/>
        </w:rPr>
        <w:t xml:space="preserve">1.6 Research Contributions</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This dissertation makes the following original contributions:</w:t>
      </w:r>
    </w:p>
    <w:p>
      <w:pPr>
        <w:spacing w:after="80" w:before="0" w:line="320" w:lineRule="auto"/>
        <w:ind w:left="720" w:hanging="360"/>
        <w:jc w:val="both"/>
      </w:pPr>
      <w:r>
        <w:rPr>
          <w:rFonts w:ascii="Times New Roman" w:cs="Times New Roman" w:eastAsia="Times New Roman" w:hAnsi="Times New Roman"/>
          <w:b/>
          <w:bCs/>
          <w:caps w:val="false"/>
          <w:color w:val="000000"/>
          <w:sz w:val="24"/>
          <w:szCs w:val="24"/>
        </w:rPr>
        <w:t xml:space="preserve">• </w:t>
      </w:r>
      <w:r>
        <w:rPr>
          <w:rFonts w:ascii="Times New Roman" w:cs="Times New Roman" w:eastAsia="Times New Roman" w:hAnsi="Times New Roman"/>
          <w:b w:val="false"/>
          <w:bCs w:val="false"/>
          <w:caps w:val="false"/>
          <w:color w:val="000000"/>
          <w:sz w:val="24"/>
          <w:szCs w:val="24"/>
        </w:rPr>
        <w:t xml:space="preserve">An empirically grounded high-rise filtering strategy for UK EPC bulk CSVs, including schema corrections and audit documentation of storey field limitations.</w:t>
      </w:r>
    </w:p>
    <w:p>
      <w:pPr>
        <w:spacing w:after="80" w:before="0" w:line="320" w:lineRule="auto"/>
        <w:ind w:left="720" w:hanging="360"/>
        <w:jc w:val="both"/>
      </w:pPr>
      <w:r>
        <w:rPr>
          <w:rFonts w:ascii="Times New Roman" w:cs="Times New Roman" w:eastAsia="Times New Roman" w:hAnsi="Times New Roman"/>
          <w:b/>
          <w:bCs/>
          <w:caps w:val="false"/>
          <w:color w:val="000000"/>
          <w:sz w:val="24"/>
          <w:szCs w:val="24"/>
        </w:rPr>
        <w:t xml:space="preserve">• </w:t>
      </w:r>
      <w:r>
        <w:rPr>
          <w:rFonts w:ascii="Times New Roman" w:cs="Times New Roman" w:eastAsia="Times New Roman" w:hAnsi="Times New Roman"/>
          <w:b w:val="false"/>
          <w:bCs w:val="false"/>
          <w:caps w:val="false"/>
          <w:color w:val="000000"/>
          <w:sz w:val="24"/>
          <w:szCs w:val="24"/>
        </w:rPr>
        <w:t xml:space="preserve">A reproducible Python pipeline comparing centralised ensembles and neural networks with FedAvg MLP across three city clients.</w:t>
      </w:r>
    </w:p>
    <w:p>
      <w:pPr>
        <w:spacing w:after="80" w:before="0" w:line="320" w:lineRule="auto"/>
        <w:ind w:left="720" w:hanging="360"/>
        <w:jc w:val="both"/>
      </w:pPr>
      <w:r>
        <w:rPr>
          <w:rFonts w:ascii="Times New Roman" w:cs="Times New Roman" w:eastAsia="Times New Roman" w:hAnsi="Times New Roman"/>
          <w:b/>
          <w:bCs/>
          <w:caps w:val="false"/>
          <w:color w:val="000000"/>
          <w:sz w:val="24"/>
          <w:szCs w:val="24"/>
        </w:rPr>
        <w:t xml:space="preserve">• </w:t>
      </w:r>
      <w:r>
        <w:rPr>
          <w:rFonts w:ascii="Times New Roman" w:cs="Times New Roman" w:eastAsia="Times New Roman" w:hAnsi="Times New Roman"/>
          <w:b w:val="false"/>
          <w:bCs w:val="false"/>
          <w:caps w:val="false"/>
          <w:color w:val="000000"/>
          <w:sz w:val="24"/>
          <w:szCs w:val="24"/>
        </w:rPr>
        <w:t xml:space="preserve">Quantitative evidence of high SHAP rank stability (Spearman ρ ≈ 0.96) between centralised and federated models on the same test subsample.</w:t>
      </w:r>
    </w:p>
    <w:p>
      <w:pPr>
        <w:spacing w:after="80" w:before="0" w:line="320" w:lineRule="auto"/>
        <w:ind w:left="720" w:hanging="360"/>
        <w:jc w:val="both"/>
      </w:pPr>
      <w:r>
        <w:rPr>
          <w:rFonts w:ascii="Times New Roman" w:cs="Times New Roman" w:eastAsia="Times New Roman" w:hAnsi="Times New Roman"/>
          <w:b/>
          <w:bCs/>
          <w:caps w:val="false"/>
          <w:color w:val="000000"/>
          <w:sz w:val="24"/>
          <w:szCs w:val="24"/>
        </w:rPr>
        <w:t xml:space="preserve">• </w:t>
      </w:r>
      <w:r>
        <w:rPr>
          <w:rFonts w:ascii="Times New Roman" w:cs="Times New Roman" w:eastAsia="Times New Roman" w:hAnsi="Times New Roman"/>
          <w:b w:val="false"/>
          <w:bCs w:val="false"/>
          <w:caps w:val="false"/>
          <w:color w:val="000000"/>
          <w:sz w:val="24"/>
          <w:szCs w:val="24"/>
        </w:rPr>
        <w:t xml:space="preserve">A Streamlit demonstration artefact supporting stakeholder communication and viva examination.</w:t>
      </w:r>
    </w:p>
    <w:p>
      <w:pPr>
        <w:spacing w:after="80" w:before="0" w:line="320" w:lineRule="auto"/>
        <w:ind w:left="720" w:hanging="360"/>
        <w:jc w:val="both"/>
      </w:pPr>
      <w:r>
        <w:rPr>
          <w:rFonts w:ascii="Times New Roman" w:cs="Times New Roman" w:eastAsia="Times New Roman" w:hAnsi="Times New Roman"/>
          <w:b/>
          <w:bCs/>
          <w:caps w:val="false"/>
          <w:color w:val="000000"/>
          <w:sz w:val="24"/>
          <w:szCs w:val="24"/>
        </w:rPr>
        <w:t xml:space="preserve">• </w:t>
      </w:r>
      <w:r>
        <w:rPr>
          <w:rFonts w:ascii="Times New Roman" w:cs="Times New Roman" w:eastAsia="Times New Roman" w:hAnsi="Times New Roman"/>
          <w:b w:val="false"/>
          <w:bCs w:val="false"/>
          <w:caps w:val="false"/>
          <w:color w:val="000000"/>
          <w:sz w:val="24"/>
          <w:szCs w:val="24"/>
        </w:rPr>
        <w:t xml:space="preserve">Practical guidance on leakage control and honest reporting for EPC-based ML research.</w:t>
      </w:r>
    </w:p>
    <w:p>
      <w:pPr>
        <w:spacing w:after="100" w:before="0"/>
      </w:pPr>
    </w:p>
    <w:p>
      <w:pPr>
        <w:pStyle w:val="Heading2"/>
        <w:spacing w:after="120" w:before="280"/>
      </w:pPr>
      <w:r>
        <w:rPr>
          <w:rFonts w:ascii="Times New Roman" w:cs="Times New Roman" w:eastAsia="Times New Roman" w:hAnsi="Times New Roman"/>
          <w:b/>
          <w:bCs/>
          <w:color w:val="1F3864"/>
          <w:sz w:val="26"/>
          <w:szCs w:val="26"/>
        </w:rPr>
        <w:t xml:space="preserve">1.7 Dissertation Structure</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Chapter 2 reviews building energy prediction, federated learning, XAI, and privacy and regulation literature, culminating in the research gap. Chapter 3 presents data selection, preprocessing, models, FL protocol, XAI metrics, and evaluation design. Chapter 4 reports dataset statistics, baseline and federated results, explanation analyses, and statistical tests. Chapter 5 discusses interpretation, limitations, ethics, and practical implications. Chapter 6 concludes and outlines future work. Appendices hold extended reproducibility notes, results narrative, ethics and policy notes, and viva preparation materials.</w:t>
      </w:r>
    </w:p>
    <w:p>
      <w:r>
        <w:br w:type="page"/>
      </w:r>
    </w:p>
    <w:p>
      <w:pPr>
        <w:pStyle w:val="Heading1"/>
        <w:spacing w:after="200" w:before="400"/>
      </w:pPr>
      <w:r>
        <w:rPr>
          <w:rFonts w:ascii="Times New Roman" w:cs="Times New Roman" w:eastAsia="Times New Roman" w:hAnsi="Times New Roman"/>
          <w:b/>
          <w:bCs/>
          <w:caps/>
          <w:color w:val="1F3864"/>
          <w:sz w:val="32"/>
          <w:szCs w:val="32"/>
        </w:rPr>
        <w:t xml:space="preserve">Chapter 2 — Literature Review</w:t>
      </w:r>
    </w:p>
    <w:p>
      <w:pPr>
        <w:pStyle w:val="Heading2"/>
        <w:spacing w:after="120" w:before="280"/>
      </w:pPr>
      <w:r>
        <w:rPr>
          <w:rFonts w:ascii="Times New Roman" w:cs="Times New Roman" w:eastAsia="Times New Roman" w:hAnsi="Times New Roman"/>
          <w:b/>
          <w:bCs/>
          <w:color w:val="1F3864"/>
          <w:sz w:val="26"/>
          <w:szCs w:val="26"/>
        </w:rPr>
        <w:t xml:space="preserve">2.1 Building Energy Performance and EPC Data</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Building energy prediction research spans physics-based simulation, statistical regression, and modern machine learning. Physics-based tools — for example Dynamic Simulation and reduced-order thermal models — offer interpretability grounded in heat transfer principles but require detailed geometry and operational schedules that are rarely available at national scale. Data-driven approaches instead learn mappings from observable building descriptors to energy intensity or demand. Ensemble tree methods (Random Forests, Gradient Boosting, XGBoost, LightGBM) consistently perform well on tabular building datasets because they capture non-linear interactions among fabric, systems, and categorical typology fields without heavy feature engineering (Amasyali and El-Gohary, 2018; Wei et al., 2018).</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UK EPCs provide standardised fields for ratings, modelled consumption, construction descriptions, and heating fuels under the Open Government Licence. Prior studies use EPCs for stock characterisation, fuel poverty proxies, retrofit targeting, and rating prediction. Fewer works isolate high-rise typologies with explicit storey or floor-area filters, and fewer still confront the mismatch between documentary high-rise thresholds and bulk export field quality. This dissertation contributes an audit-informed filter design that privileges honesty about data limitations over aspirational thresholds that empty the sample (Chen et al., 2023).</w:t>
      </w:r>
    </w:p>
    <w:p>
      <w:pPr>
        <w:pStyle w:val="Heading2"/>
        <w:spacing w:after="120" w:before="280"/>
      </w:pPr>
      <w:r>
        <w:rPr>
          <w:rFonts w:ascii="Times New Roman" w:cs="Times New Roman" w:eastAsia="Times New Roman" w:hAnsi="Times New Roman"/>
          <w:b/>
          <w:bCs/>
          <w:color w:val="1F3864"/>
          <w:sz w:val="26"/>
          <w:szCs w:val="26"/>
        </w:rPr>
        <w:t xml:space="preserve">2.2 Privacy-Preserving Learning for Built-Environment Data</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Energy and building datasets can be sensitive even when released under open licences: address-level linkages, small-area inference, and commercial HVAC configurations create residual risks. Privacy-preserving machine learning encompasses anonymisation, differential privacy, secure multiparty computation, and federated learning. FL is attractive when multiple organisations each hold locally rich but non-shareable tables — precisely the situation of local authorities and portfolio managers holding EPC-related or meter-linked datasets.</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FedAvg (McMahan et al., 2017) iteratively averages client model parameters weighted by local dataset size. Under non-IID (non-identically distributed) client distributions, client drift can degrade convergence; FedProx and related methods add proximal regularisation to mitigate this (Li et al., 2020). Flower (Beutel et al., 2020) provides an engineering framework for simulating and deploying FL across diverse client environments. Applications in smart grids, healthcare, and IoT are well established; building-sector FL remains comparatively sparse, and coupling FL with formal XAI evaluation is rarer still. This gap motivates the present work.</w:t>
      </w:r>
    </w:p>
    <w:p>
      <w:pPr>
        <w:pStyle w:val="Heading2"/>
        <w:spacing w:after="120" w:before="280"/>
      </w:pPr>
      <w:r>
        <w:rPr>
          <w:rFonts w:ascii="Times New Roman" w:cs="Times New Roman" w:eastAsia="Times New Roman" w:hAnsi="Times New Roman"/>
          <w:b/>
          <w:bCs/>
          <w:color w:val="1F3864"/>
          <w:sz w:val="26"/>
          <w:szCs w:val="26"/>
        </w:rPr>
        <w:t xml:space="preserve">2.3 Explainable AI for Regression on Tabular Data</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Global explanations summarise which features drive predictions across a dataset; local explanations justify individual instances (Molnar, 2022). SHAP assigns each feature an additive contribution based on Shapley values from cooperative game theory, with desirable consistency and efficiency properties (Lundberg and Lee, 2017). TreeExplainer computes exact SHAP values efficiently for tree ensembles; KernelExplainer approximates SHAP for arbitrary models at higher computational cost. LIME fits interpretable local surrogates around individual instances (Ribeiro, Singh and Guestrin, 2016).</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Critiques of XAI emphasise fidelity, stability under perturbation, and the risk of misleading attributions (Doshi-Velez and Kim, 2017; Slack et al., 2020). In federated settings, an additional question arises: do explanations of a model trained without data pooling remain aligned with explanations of a centrally trained counterpart? This dissertation operationalises that question via Spearman correlation of mean absolute SHAP profiles — providing, to the author's knowledge, one of the first quantitative assessments of explanation stability under geographic federated partitioning for building energy data.</w:t>
      </w:r>
    </w:p>
    <w:p>
      <w:pPr>
        <w:pStyle w:val="Heading2"/>
        <w:spacing w:after="120" w:before="280"/>
      </w:pPr>
      <w:r>
        <w:rPr>
          <w:rFonts w:ascii="Times New Roman" w:cs="Times New Roman" w:eastAsia="Times New Roman" w:hAnsi="Times New Roman"/>
          <w:b/>
          <w:bCs/>
          <w:color w:val="1F3864"/>
          <w:sz w:val="26"/>
          <w:szCs w:val="26"/>
        </w:rPr>
        <w:t xml:space="preserve">2.4 Regulatory Context</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GDPR constrains processing of personal data and influences how household energy information may be shared across organisational boundaries. Commercial landlords may treat operational energy and system configuration details as confidential assets. The EU Artificial Intelligence Act (2024) and related governance debates elevate transparency and human oversight for higher-risk AI systems, with Article 13 specifically requiring that AI systems provide meaningful transparency to users (European Parliament, 2024). Whilst EPC prediction for research may not map directly onto regulated high-risk AI categories, the normative argument remains: if AI informs retrofit advice or portfolio decisions, stakeholders benefit from explanations that are stable and auditable. The Energy Performance of Buildings Directive recast (European Commission, 2024) further emphasises standardised, transparent assessment methodologies across the EU, reinforcing the case for explainable building energy AI.</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PP-XAI therefore treats FL and XAI as complementary pillars of trustworthy analytics rather than optional extras. Together they address the dual regulatory imperative of data privacy (FL addressing GDPR and organisational data residency) and transparency (SHAP and LIME addressing AI Act Article 13 expectations).</w:t>
      </w:r>
    </w:p>
    <w:p>
      <w:pPr>
        <w:pStyle w:val="Heading2"/>
        <w:spacing w:after="120" w:before="280"/>
      </w:pPr>
      <w:r>
        <w:rPr>
          <w:rFonts w:ascii="Times New Roman" w:cs="Times New Roman" w:eastAsia="Times New Roman" w:hAnsi="Times New Roman"/>
          <w:b/>
          <w:bCs/>
          <w:color w:val="1F3864"/>
          <w:sz w:val="26"/>
          <w:szCs w:val="26"/>
        </w:rPr>
        <w:t xml:space="preserve">2.5 Tabular Learning for Energy Intensity</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Cross-sectional prediction of energy intensity differs from short-term load forecasting: the former emphasises static building descriptors; the latter emphasises calendars, weather, and autoregression. EPC modelling belongs to the former category. Tree ensembles remain strong baselines on medium-sized tabular datasets (Amasyali and El-Gohary, 2018). They handle mixed types after encoding, tolerate moderate missingness with imputation, and provide impurity-based importance that can be contrasted with SHAP values. Neural MLPs require careful scaling and often more tuning, but are natural citizens of FedAvg because their parameter tensors average cleanly — a key reason for choosing an MLP as the primary federated model.</w:t>
      </w:r>
    </w:p>
    <w:p>
      <w:pPr>
        <w:pStyle w:val="Heading2"/>
        <w:spacing w:after="120" w:before="280"/>
      </w:pPr>
      <w:r>
        <w:rPr>
          <w:rFonts w:ascii="Times New Roman" w:cs="Times New Roman" w:eastAsia="Times New Roman" w:hAnsi="Times New Roman"/>
          <w:b/>
          <w:bCs/>
          <w:color w:val="1F3864"/>
          <w:sz w:val="26"/>
          <w:szCs w:val="26"/>
        </w:rPr>
        <w:t xml:space="preserve">2.6 Related Work Synthesis and Research Gap</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Synthesising the above: (i) tabular ML on EPCs is mature for centralised prediction; (ii) FL is theoretically and practically ready for multi-organisation building data; (iii) SHAP and LIME are established for tabular regression; (iv) integrated evaluation of accuracy and explanation stability for UK high-rise EPC FL is absent from the literature. No identified study simultaneously revises high-rise filters against bulk schema reality, compares centralised ensembles with FedAvg on London, Manchester, and Birmingham partitions, and reports Spearman stability of SHAP rankings across those regimes.</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c>
          <w:tcPr>
            <w:tcW w:type="dxa" w:w="300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Research Area</w:t>
            </w:r>
          </w:p>
        </w:tc>
        <w:tc>
          <w:tcPr>
            <w:tcW w:type="dxa" w:w="318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Existing Work</w:t>
            </w:r>
          </w:p>
        </w:tc>
        <w:tc>
          <w:tcPr>
            <w:tcW w:type="dxa" w:w="318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PP-XAI Contribution</w:t>
            </w:r>
          </w:p>
        </w:tc>
      </w:tr>
      <w:tr>
        <w:tc>
          <w:tcPr>
            <w:tcW w:type="dxa" w:w="3000"/>
            <w:tcBorders>
              <w:top w:val="single" w:color="000000" w:sz="6"/>
              <w:left w:val="single" w:color="000000" w:sz="6"/>
              <w:bottom w:val="single" w:color="000000" w:sz="6"/>
              <w:right w:val="single" w:color="000000" w:sz="6"/>
            </w:tcBorders>
            <w:shd w:fill="EBF3FB" w:val="clear"/>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High-rise EPC filtering</w:t>
            </w:r>
          </w:p>
        </w:tc>
        <w:tc>
          <w:tcPr>
            <w:tcW w:type="dxa" w:w="31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Aspirational thresholds; no audit</w:t>
            </w:r>
          </w:p>
        </w:tc>
        <w:tc>
          <w:tcPr>
            <w:tcW w:type="dxa" w:w="31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Schema audit; revised ≥5 proxy documented</w:t>
            </w:r>
          </w:p>
        </w:tc>
      </w:tr>
      <w:tr>
        <w:tc>
          <w:tcPr>
            <w:tcW w:type="dxa" w:w="3000"/>
            <w:tcBorders>
              <w:top w:val="single" w:color="000000" w:sz="6"/>
              <w:left w:val="single" w:color="000000" w:sz="6"/>
              <w:bottom w:val="single" w:color="000000" w:sz="6"/>
              <w:right w:val="single" w:color="000000" w:sz="6"/>
            </w:tcBorders>
            <w:shd w:fill="EBF3FB" w:val="clear"/>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Centralised EPC ML</w:t>
            </w:r>
          </w:p>
        </w:tc>
        <w:tc>
          <w:tcPr>
            <w:tcW w:type="dxa" w:w="31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Extensive (Chen et al., 2023; Wei et al., 2018)</w:t>
            </w:r>
          </w:p>
        </w:tc>
        <w:tc>
          <w:tcPr>
            <w:tcW w:type="dxa" w:w="31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Replicated with leakage control</w:t>
            </w:r>
          </w:p>
        </w:tc>
      </w:tr>
      <w:tr>
        <w:tc>
          <w:tcPr>
            <w:tcW w:type="dxa" w:w="3000"/>
            <w:tcBorders>
              <w:top w:val="single" w:color="000000" w:sz="6"/>
              <w:left w:val="single" w:color="000000" w:sz="6"/>
              <w:bottom w:val="single" w:color="000000" w:sz="6"/>
              <w:right w:val="single" w:color="000000" w:sz="6"/>
            </w:tcBorders>
            <w:shd w:fill="EBF3FB" w:val="clear"/>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FL for building energy</w:t>
            </w:r>
          </w:p>
        </w:tc>
        <w:tc>
          <w:tcPr>
            <w:tcW w:type="dxa" w:w="31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Smart meters; no EPC</w:t>
            </w:r>
          </w:p>
        </w:tc>
        <w:tc>
          <w:tcPr>
            <w:tcW w:type="dxa" w:w="31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First FL on UK EPC high-rise partitions</w:t>
            </w:r>
          </w:p>
        </w:tc>
      </w:tr>
      <w:tr>
        <w:tc>
          <w:tcPr>
            <w:tcW w:type="dxa" w:w="3000"/>
            <w:tcBorders>
              <w:top w:val="single" w:color="000000" w:sz="6"/>
              <w:left w:val="single" w:color="000000" w:sz="6"/>
              <w:bottom w:val="single" w:color="000000" w:sz="6"/>
              <w:right w:val="single" w:color="000000" w:sz="6"/>
            </w:tcBorders>
            <w:shd w:fill="EBF3FB" w:val="clear"/>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XAI for building energy</w:t>
            </w:r>
          </w:p>
        </w:tc>
        <w:tc>
          <w:tcPr>
            <w:tcW w:type="dxa" w:w="31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Centralised only (Molnar, 2022)</w:t>
            </w:r>
          </w:p>
        </w:tc>
        <w:tc>
          <w:tcPr>
            <w:tcW w:type="dxa" w:w="31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SHAP/LIME stability under FL evaluated</w:t>
            </w:r>
          </w:p>
        </w:tc>
      </w:tr>
      <w:tr>
        <w:tc>
          <w:tcPr>
            <w:tcW w:type="dxa" w:w="3000"/>
            <w:tcBorders>
              <w:top w:val="single" w:color="000000" w:sz="6"/>
              <w:left w:val="single" w:color="000000" w:sz="6"/>
              <w:bottom w:val="single" w:color="000000" w:sz="6"/>
              <w:right w:val="single" w:color="000000" w:sz="6"/>
            </w:tcBorders>
            <w:shd w:fill="EBF3FB" w:val="clear"/>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FL + XAI joint evaluation</w:t>
            </w:r>
          </w:p>
        </w:tc>
        <w:tc>
          <w:tcPr>
            <w:tcW w:type="dxa" w:w="31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None identified in built environment</w:t>
            </w:r>
          </w:p>
        </w:tc>
        <w:tc>
          <w:tcPr>
            <w:tcW w:type="dxa" w:w="31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Spearman ρ stability metric introduced</w:t>
            </w:r>
          </w:p>
        </w:tc>
      </w:tr>
    </w:tbl>
    <w:p>
      <w:pPr>
        <w:spacing w:after="200" w:before="60"/>
        <w:jc w:val="center"/>
      </w:pPr>
      <w:r>
        <w:rPr>
          <w:rFonts w:ascii="Times New Roman" w:cs="Times New Roman" w:eastAsia="Times New Roman" w:hAnsi="Times New Roman"/>
          <w:b w:val="false"/>
          <w:bCs w:val="false"/>
          <w:caps w:val="false"/>
          <w:color w:val="000000"/>
          <w:sz w:val="20"/>
          <w:szCs w:val="20"/>
        </w:rPr>
        <w:t xml:space="preserve">Table 2.1: Research gap analysis — existing work versus PP-XAI contribution</w:t>
      </w:r>
    </w:p>
    <w:p>
      <w:pPr>
        <w:spacing w:after="100" w:before="0"/>
      </w:pP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Chapter 3 translates this gap analysis into a concrete empirical protocol.</w:t>
      </w:r>
    </w:p>
    <w:p>
      <w:r>
        <w:br w:type="page"/>
      </w:r>
    </w:p>
    <w:p>
      <w:pPr>
        <w:pStyle w:val="Heading1"/>
        <w:spacing w:after="200" w:before="400"/>
      </w:pPr>
      <w:r>
        <w:rPr>
          <w:rFonts w:ascii="Times New Roman" w:cs="Times New Roman" w:eastAsia="Times New Roman" w:hAnsi="Times New Roman"/>
          <w:b/>
          <w:bCs/>
          <w:caps/>
          <w:color w:val="1F3864"/>
          <w:sz w:val="32"/>
          <w:szCs w:val="32"/>
        </w:rPr>
        <w:t xml:space="preserve">Chapter 3 — Methodology</w:t>
      </w:r>
    </w:p>
    <w:p>
      <w:pPr>
        <w:pStyle w:val="Heading2"/>
        <w:spacing w:after="120" w:before="280"/>
      </w:pPr>
      <w:r>
        <w:rPr>
          <w:rFonts w:ascii="Times New Roman" w:cs="Times New Roman" w:eastAsia="Times New Roman" w:hAnsi="Times New Roman"/>
          <w:b/>
          <w:bCs/>
          <w:color w:val="1F3864"/>
          <w:sz w:val="26"/>
          <w:szCs w:val="26"/>
        </w:rPr>
        <w:t xml:space="preserve">3.1 Research Design Overview</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This study employs a comparative experimental design. A single filtered EPC corpus is (a) trained centrally with multiple regressors and (b) trained federatively with an MLP under FedAvg across three geographic clients. Predictive metrics and SHAP-based explanation stability are compared on a shared held-out test set. A Streamlit prototype demonstrates stakeholder-facing use. The design is justified by the need to empirically validate FL performance against centralised baselines and quantitatively assess XAI explanation fidelity under federated conditions — directly addressing RQ1–RQ4.</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The research paradigm is positivist and quantitative: propositions (hypotheses H1–H4) are tested with numerical metrics and statistical tests. The MSc timeline constrained novelty in favour of a complete, evaluable, and reproducible pipeline over an exploratory large-scale study.</w:t>
      </w:r>
    </w:p>
    <w:p>
      <w:pPr>
        <w:pStyle w:val="Heading2"/>
        <w:spacing w:after="120" w:before="280"/>
      </w:pPr>
      <w:r>
        <w:rPr>
          <w:rFonts w:ascii="Times New Roman" w:cs="Times New Roman" w:eastAsia="Times New Roman" w:hAnsi="Times New Roman"/>
          <w:b/>
          <w:bCs/>
          <w:color w:val="1F3864"/>
          <w:sz w:val="26"/>
          <w:szCs w:val="26"/>
        </w:rPr>
        <w:t xml:space="preserve">3.2 Data Sources and Licensing</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Primary data are UK EPC bulk certificate CSVs for domestic and non-domestic buildings, published under Open Government Licence v3.0 via the Ministry of Housing, Communities and Local Government EPC portal. Certificate years 2018–2026 were scanned in chunked mode to manage memory constraints (domestic national files exceed several gigabytes per year). Recommendations CSVs were not used; prediction targets and modelling features reside on certificates only.</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Supplementary OpenStreetMap GeoJSON files (building:levels ≥ 10) for London, Manchester, and Birmingham were downloaded via the Overpass API and saved locally. These provide contextual evidence of tower stock density but are used for documentation rather than primary modelling, due to sparse postcode-level joins (3.9% match rate).</w:t>
      </w:r>
    </w:p>
    <w:p>
      <w:pPr>
        <w:pStyle w:val="Heading2"/>
        <w:spacing w:after="120" w:before="280"/>
      </w:pPr>
      <w:r>
        <w:rPr>
          <w:rFonts w:ascii="Times New Roman" w:cs="Times New Roman" w:eastAsia="Times New Roman" w:hAnsi="Times New Roman"/>
          <w:b/>
          <w:bCs/>
          <w:color w:val="1F3864"/>
          <w:sz w:val="26"/>
          <w:szCs w:val="26"/>
        </w:rPr>
        <w:t xml:space="preserve">3.3 High-Rise Filtering Strategy</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A critical methodological contribution of this dissertation is the empirical audit of EPC bulk export schemas prior to modelling. This audit revealed that the flat_storey_count field rarely exceeds eight in domestic bulk extracts, making the commonly assumed ≥10 threshold yield zero records. The floor_level field is similarly limited to low integer band values. The revised filters are:</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2500"/>
        <w:gridCol w:w="1860"/>
      </w:tblGrid>
      <w:tr>
        <w:tc>
          <w:tcPr>
            <w:tcW w:type="dxa" w:w="200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Typology</w:t>
            </w:r>
          </w:p>
        </w:tc>
        <w:tc>
          <w:tcPr>
            <w:tcW w:type="dxa" w:w="300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Inclusion Rules</w:t>
            </w:r>
          </w:p>
        </w:tc>
        <w:tc>
          <w:tcPr>
            <w:tcW w:type="dxa" w:w="250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Target Variable</w:t>
            </w:r>
          </w:p>
        </w:tc>
        <w:tc>
          <w:tcPr>
            <w:tcW w:type="dxa" w:w="186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Rationale</w:t>
            </w:r>
          </w:p>
        </w:tc>
      </w:tr>
      <w:tr>
        <w:tc>
          <w:tcPr>
            <w:tcW w:type="dxa" w:w="2000"/>
            <w:tcBorders>
              <w:top w:val="single" w:color="000000" w:sz="6"/>
              <w:left w:val="single" w:color="000000" w:sz="6"/>
              <w:bottom w:val="single" w:color="000000" w:sz="6"/>
              <w:right w:val="single" w:color="000000" w:sz="6"/>
            </w:tcBorders>
            <w:shd w:fill="EBF3FB"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Domestic (1A)</w:t>
            </w:r>
          </w:p>
        </w:tc>
        <w:tc>
          <w:tcPr>
            <w:tcW w:type="dxa" w:w="3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property_type = Flat; flat_storey_count ≥ 5; client LA membership</w:t>
            </w:r>
          </w:p>
        </w:tc>
        <w:tc>
          <w:tcPr>
            <w:tcW w:type="dxa" w:w="2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energy_consumption_current</w:t>
            </w:r>
          </w:p>
        </w:tc>
        <w:tc>
          <w:tcPr>
            <w:tcW w:type="dxa" w:w="18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Honest mid/high-rise proxy</w:t>
            </w:r>
          </w:p>
        </w:tc>
      </w:tr>
      <w:tr>
        <w:tc>
          <w:tcPr>
            <w:tcW w:type="dxa" w:w="2000"/>
            <w:tcBorders>
              <w:top w:val="single" w:color="000000" w:sz="6"/>
              <w:left w:val="single" w:color="000000" w:sz="6"/>
              <w:bottom w:val="single" w:color="000000" w:sz="6"/>
              <w:right w:val="single" w:color="000000" w:sz="6"/>
            </w:tcBorders>
            <w:shd w:fill="EBF3FB"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Non-domestic (1B)</w:t>
            </w:r>
          </w:p>
        </w:tc>
        <w:tc>
          <w:tcPr>
            <w:tcW w:type="dxa" w:w="3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floor_area ≥ 5,000 m²; exclude schools, hospitals, worship, sports; client LA membership</w:t>
            </w:r>
          </w:p>
        </w:tc>
        <w:tc>
          <w:tcPr>
            <w:tcW w:type="dxa" w:w="2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primary_energy_value</w:t>
            </w:r>
          </w:p>
        </w:tc>
        <w:tc>
          <w:tcPr>
            <w:tcW w:type="dxa" w:w="18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Commercial high-rise proxy</w:t>
            </w:r>
          </w:p>
        </w:tc>
      </w:tr>
    </w:tbl>
    <w:p>
      <w:pPr>
        <w:spacing w:after="200" w:before="60"/>
        <w:jc w:val="center"/>
      </w:pPr>
      <w:r>
        <w:rPr>
          <w:rFonts w:ascii="Times New Roman" w:cs="Times New Roman" w:eastAsia="Times New Roman" w:hAnsi="Times New Roman"/>
          <w:b w:val="false"/>
          <w:bCs w:val="false"/>
          <w:caps w:val="false"/>
          <w:color w:val="000000"/>
          <w:sz w:val="20"/>
          <w:szCs w:val="20"/>
        </w:rPr>
        <w:t xml:space="preserve">Table 3.1: High-rise filtering strategy and target variable selection</w:t>
      </w:r>
    </w:p>
    <w:p>
      <w:pPr>
        <w:spacing w:after="100" w:before="0"/>
      </w:pP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Features deliberately exclude CO₂ intensity and asset/environment rating scores that were found to correlate near-perfectly with the energy target, causing target leakage and inflating apparent R² to above 0.95. Exclusion of these features is a key validity protection (Doshi-Velez and Kim, 2017).</w:t>
      </w:r>
    </w:p>
    <w:p>
      <w:pPr>
        <w:pStyle w:val="Heading2"/>
        <w:spacing w:after="120" w:before="280"/>
      </w:pPr>
      <w:r>
        <w:rPr>
          <w:rFonts w:ascii="Times New Roman" w:cs="Times New Roman" w:eastAsia="Times New Roman" w:hAnsi="Times New Roman"/>
          <w:b/>
          <w:bCs/>
          <w:color w:val="1F3864"/>
          <w:sz w:val="26"/>
          <w:szCs w:val="26"/>
        </w:rPr>
        <w:t xml:space="preserve">3.4 Preprocessing Pipeline</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The EPCPreprocessor class in src/data/preprocessor.py applies the following pipeline:</w:t>
      </w:r>
    </w:p>
    <w:p>
      <w:pPr>
        <w:spacing w:after="80" w:before="0" w:line="320" w:lineRule="auto"/>
        <w:ind w:left="720" w:hanging="360"/>
        <w:jc w:val="both"/>
      </w:pPr>
      <w:r>
        <w:rPr>
          <w:rFonts w:ascii="Times New Roman" w:cs="Times New Roman" w:eastAsia="Times New Roman" w:hAnsi="Times New Roman"/>
          <w:b/>
          <w:bCs/>
          <w:caps w:val="false"/>
          <w:color w:val="000000"/>
          <w:sz w:val="24"/>
          <w:szCs w:val="24"/>
        </w:rPr>
        <w:t xml:space="preserve">• </w:t>
      </w:r>
      <w:r>
        <w:rPr>
          <w:rFonts w:ascii="Times New Roman" w:cs="Times New Roman" w:eastAsia="Times New Roman" w:hAnsi="Times New Roman"/>
          <w:b w:val="false"/>
          <w:bCs w:val="false"/>
          <w:caps w:val="false"/>
          <w:color w:val="000000"/>
          <w:sz w:val="24"/>
          <w:szCs w:val="24"/>
        </w:rPr>
        <w:t xml:space="preserve">Frame preparation and target outlier clipping at the 1st–99th percentile range to remove extreme values.</w:t>
      </w:r>
    </w:p>
    <w:p>
      <w:pPr>
        <w:spacing w:after="80" w:before="0" w:line="320" w:lineRule="auto"/>
        <w:ind w:left="720" w:hanging="360"/>
        <w:jc w:val="both"/>
      </w:pPr>
      <w:r>
        <w:rPr>
          <w:rFonts w:ascii="Times New Roman" w:cs="Times New Roman" w:eastAsia="Times New Roman" w:hAnsi="Times New Roman"/>
          <w:b/>
          <w:bCs/>
          <w:caps w:val="false"/>
          <w:color w:val="000000"/>
          <w:sz w:val="24"/>
          <w:szCs w:val="24"/>
        </w:rPr>
        <w:t xml:space="preserve">• </w:t>
      </w:r>
      <w:r>
        <w:rPr>
          <w:rFonts w:ascii="Times New Roman" w:cs="Times New Roman" w:eastAsia="Times New Roman" w:hAnsi="Times New Roman"/>
          <w:b w:val="false"/>
          <w:bCs w:val="false"/>
          <w:caps w:val="false"/>
          <w:color w:val="000000"/>
          <w:sz w:val="24"/>
          <w:szCs w:val="24"/>
        </w:rPr>
        <w:t xml:space="preserve">Median imputation for numeric features (floor_area, storey_count) and most-frequent imputation for categorical fields.</w:t>
      </w:r>
    </w:p>
    <w:p>
      <w:pPr>
        <w:spacing w:after="80" w:before="0" w:line="320" w:lineRule="auto"/>
        <w:ind w:left="720" w:hanging="360"/>
        <w:jc w:val="both"/>
      </w:pPr>
      <w:r>
        <w:rPr>
          <w:rFonts w:ascii="Times New Roman" w:cs="Times New Roman" w:eastAsia="Times New Roman" w:hAnsi="Times New Roman"/>
          <w:b/>
          <w:bCs/>
          <w:caps w:val="false"/>
          <w:color w:val="000000"/>
          <w:sz w:val="24"/>
          <w:szCs w:val="24"/>
        </w:rPr>
        <w:t xml:space="preserve">• </w:t>
      </w:r>
      <w:r>
        <w:rPr>
          <w:rFonts w:ascii="Times New Roman" w:cs="Times New Roman" w:eastAsia="Times New Roman" w:hAnsi="Times New Roman"/>
          <w:b w:val="false"/>
          <w:bCs w:val="false"/>
          <w:caps w:val="false"/>
          <w:color w:val="000000"/>
          <w:sz w:val="24"/>
          <w:szCs w:val="24"/>
        </w:rPr>
        <w:t xml:space="preserve">One-hot encoding for categoricals: property type, building environment, main fuel, heating type, air conditioning presence, and source city.</w:t>
      </w:r>
    </w:p>
    <w:p>
      <w:pPr>
        <w:spacing w:after="80" w:before="0" w:line="320" w:lineRule="auto"/>
        <w:ind w:left="720" w:hanging="360"/>
        <w:jc w:val="both"/>
      </w:pPr>
      <w:r>
        <w:rPr>
          <w:rFonts w:ascii="Times New Roman" w:cs="Times New Roman" w:eastAsia="Times New Roman" w:hAnsi="Times New Roman"/>
          <w:b/>
          <w:bCs/>
          <w:caps w:val="false"/>
          <w:color w:val="000000"/>
          <w:sz w:val="24"/>
          <w:szCs w:val="24"/>
        </w:rPr>
        <w:t xml:space="preserve">• </w:t>
      </w:r>
      <w:r>
        <w:rPr>
          <w:rFonts w:ascii="Times New Roman" w:cs="Times New Roman" w:eastAsia="Times New Roman" w:hAnsi="Times New Roman"/>
          <w:b w:val="false"/>
          <w:bCs w:val="false"/>
          <w:caps w:val="false"/>
          <w:color w:val="000000"/>
          <w:sz w:val="24"/>
          <w:szCs w:val="24"/>
        </w:rPr>
        <w:t xml:space="preserve">Standard scaling (StandardScaler) of numeric columns, fitted on training data only to prevent test-set contamination.</w:t>
      </w:r>
    </w:p>
    <w:p>
      <w:pPr>
        <w:spacing w:after="80" w:before="0" w:line="320" w:lineRule="auto"/>
        <w:ind w:left="720" w:hanging="360"/>
        <w:jc w:val="both"/>
      </w:pPr>
      <w:r>
        <w:rPr>
          <w:rFonts w:ascii="Times New Roman" w:cs="Times New Roman" w:eastAsia="Times New Roman" w:hAnsi="Times New Roman"/>
          <w:b/>
          <w:bCs/>
          <w:caps w:val="false"/>
          <w:color w:val="000000"/>
          <w:sz w:val="24"/>
          <w:szCs w:val="24"/>
        </w:rPr>
        <w:t xml:space="preserve">• </w:t>
      </w:r>
      <w:r>
        <w:rPr>
          <w:rFonts w:ascii="Times New Roman" w:cs="Times New Roman" w:eastAsia="Times New Roman" w:hAnsi="Times New Roman"/>
          <w:b w:val="false"/>
          <w:bCs w:val="false"/>
          <w:caps w:val="false"/>
          <w:color w:val="000000"/>
          <w:sz w:val="24"/>
          <w:szCs w:val="24"/>
        </w:rPr>
        <w:t xml:space="preserve">80/20 stratified train–test split, with the preprocessor fitted on training rows and applied to test rows.</w:t>
      </w:r>
    </w:p>
    <w:p>
      <w:pPr>
        <w:spacing w:after="60" w:before="0"/>
      </w:pP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The fitted ColumnTransformer is persisted to data/processed/preprocessor.joblib, ensuring identical transformations for centralised training, federated client partitions, and inference in the Streamlit prototype.</w:t>
      </w:r>
    </w:p>
    <w:p>
      <w:pPr>
        <w:pStyle w:val="Heading2"/>
        <w:spacing w:after="120" w:before="280"/>
      </w:pPr>
      <w:r>
        <w:rPr>
          <w:rFonts w:ascii="Times New Roman" w:cs="Times New Roman" w:eastAsia="Times New Roman" w:hAnsi="Times New Roman"/>
          <w:b/>
          <w:bCs/>
          <w:color w:val="1F3864"/>
          <w:sz w:val="26"/>
          <w:szCs w:val="26"/>
        </w:rPr>
        <w:t xml:space="preserve">3.5 Federated Partitioning</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To simulate realistic FL conditions, the filtered corpus is partitioned geographically by source_city, creating three non-IID client datasets. London, Manchester, and Birmingham are chosen to represent the three largest English metropolitan regions, each with distinct building stock vintage and typology profiles. The partitioning creates sample-size imbalance (London: 3,449; Manchester: 1,160; Birmingham: 1,054) reflecting real-world data heterogeneity. Client means differ mildly (234–243 kWh/m²/year), indicating mild label skew. FedAvg weights client updates proportionally to local sample size, giving London greater influence on the global model.</w:t>
      </w:r>
    </w:p>
    <w:p>
      <w:pPr>
        <w:pStyle w:val="Heading2"/>
        <w:spacing w:after="120" w:before="280"/>
      </w:pPr>
      <w:r>
        <w:rPr>
          <w:rFonts w:ascii="Times New Roman" w:cs="Times New Roman" w:eastAsia="Times New Roman" w:hAnsi="Times New Roman"/>
          <w:b/>
          <w:bCs/>
          <w:color w:val="1F3864"/>
          <w:sz w:val="26"/>
          <w:szCs w:val="26"/>
        </w:rPr>
        <w:t xml:space="preserve">3.6 Centralised Baseline Models</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Five regression models are implemented in src/models/centralised_models.py as centralised baselines: Random Forest Regressor (200 estimators), Gradient Boosting (sklearn), XGBoost (lightly tuned), LightGBM (single-threaded for macOS stability), and MLPRegressor (128–64 hidden units, early stopping). Evaluation metrics are RMSE, MAE, R², and MAPE on the 20% held-out test set. The best-performing model by RMSE is designated for primary SHAP comparison.</w:t>
      </w:r>
    </w:p>
    <w:p>
      <w:pPr>
        <w:pStyle w:val="Heading2"/>
        <w:spacing w:after="120" w:before="280"/>
      </w:pPr>
      <w:r>
        <w:rPr>
          <w:rFonts w:ascii="Times New Roman" w:cs="Times New Roman" w:eastAsia="Times New Roman" w:hAnsi="Times New Roman"/>
          <w:b/>
          <w:bCs/>
          <w:color w:val="1F3864"/>
          <w:sz w:val="26"/>
          <w:szCs w:val="26"/>
        </w:rPr>
        <w:t xml:space="preserve">3.7 Federated Learning Protocol</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An energy MLP (EnergyMLP in src/federated/fl_client.py) is trained with an in-process FedAvg simulator for eight rounds and four local epochs per round, using Adam optimiser and MSE loss. Client updates are averaged with weights proportional to local sample sizes. The in-process simulator is chosen for reproducibility on a single machine, avoiding network complexity whilst correctly implementing the FedAvg aggregation logic. FedProx (Li et al., 2020) with μ = 0.01 is also implemented and convergence results are documented. The Flower framework (Beutel et al., 2020) provides the client–server abstractions.</w:t>
      </w:r>
    </w:p>
    <w:p>
      <w:pPr>
        <w:pStyle w:val="Heading2"/>
        <w:spacing w:after="120" w:before="280"/>
      </w:pPr>
      <w:r>
        <w:rPr>
          <w:rFonts w:ascii="Times New Roman" w:cs="Times New Roman" w:eastAsia="Times New Roman" w:hAnsi="Times New Roman"/>
          <w:b/>
          <w:bCs/>
          <w:color w:val="1F3864"/>
          <w:sz w:val="26"/>
          <w:szCs w:val="26"/>
        </w:rPr>
        <w:t xml:space="preserve">3.8 Explainability Protocol</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On a shared subsample (background ≈ 80 training rows; explain ≈ 60 test rows), SHAP KernelExplainer is applied to both the best centralised model and the federated MLP. Using the same explainer family on both models reduces confounding from explainer choice and enables a fair comparison of mean absolute SHAP value profiles. LIME tabular explanations are generated for three representative test instances per model. Explanation stability is quantified as:</w:t>
      </w:r>
    </w:p>
    <w:p>
      <w:pPr>
        <w:spacing w:after="60" w:before="0"/>
      </w:pPr>
    </w:p>
    <w:p>
      <w:pPr>
        <w:spacing w:after="100" w:before="0" w:line="360" w:lineRule="auto"/>
        <w:jc w:val="both"/>
      </w:pPr>
      <w:r>
        <w:rPr>
          <w:rFonts w:ascii="Times New Roman" w:cs="Times New Roman" w:eastAsia="Times New Roman" w:hAnsi="Times New Roman"/>
          <w:b/>
          <w:bCs/>
          <w:caps w:val="false"/>
          <w:color w:val="000000"/>
          <w:sz w:val="24"/>
          <w:szCs w:val="24"/>
        </w:rPr>
        <w:t xml:space="preserve">Spearman Rank Correlation (ρ):</w:t>
      </w:r>
      <w:r>
        <w:rPr>
          <w:rFonts w:ascii="Times New Roman" w:cs="Times New Roman" w:eastAsia="Times New Roman" w:hAnsi="Times New Roman"/>
          <w:b w:val="false"/>
          <w:bCs w:val="false"/>
          <w:caps w:val="false"/>
          <w:color w:val="000000"/>
          <w:sz w:val="24"/>
          <w:szCs w:val="24"/>
        </w:rPr>
        <w:t xml:space="preserve"> Correlation between ranked mean |SHAP| profiles of centralised and federated models. Target: ρ &gt; 0.85. A high ρ indicates feature importance rankings are similarly ordered across training regimes.</w:t>
      </w:r>
    </w:p>
    <w:p>
      <w:pPr>
        <w:pStyle w:val="Heading2"/>
        <w:spacing w:after="120" w:before="280"/>
      </w:pPr>
      <w:r>
        <w:rPr>
          <w:rFonts w:ascii="Times New Roman" w:cs="Times New Roman" w:eastAsia="Times New Roman" w:hAnsi="Times New Roman"/>
          <w:b/>
          <w:bCs/>
          <w:color w:val="1F3864"/>
          <w:sz w:val="26"/>
          <w:szCs w:val="26"/>
        </w:rPr>
        <w:t xml:space="preserve">3.9 Statistical Testing</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Paired Wilcoxon signed-rank test and paired t-test compare absolute errors of the best centralised model versus the federated MLP on the identical test set. These tests assess whether the accuracy difference is statistically significant beyond random variation (src/evaluation/metrics.py). Effect size (Cohen's d) is also computed to complement p-values.</w:t>
      </w:r>
    </w:p>
    <w:p>
      <w:pPr>
        <w:pStyle w:val="Heading2"/>
        <w:spacing w:after="120" w:before="280"/>
      </w:pPr>
      <w:r>
        <w:rPr>
          <w:rFonts w:ascii="Times New Roman" w:cs="Times New Roman" w:eastAsia="Times New Roman" w:hAnsi="Times New Roman"/>
          <w:b/>
          <w:bCs/>
          <w:color w:val="1F3864"/>
          <w:sz w:val="26"/>
          <w:szCs w:val="26"/>
        </w:rPr>
        <w:t xml:space="preserve">3.10 Ethical Considerations</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Only open EPC certificate fields and OSM building tags were used in this research. No attempts were made to re-identify individuals beyond data already published under OGL. The modelling corpus excludes full address strings and UPRNs from model features. The Streamlit prototype does not display individual property records. Ethical approval was submitted to the University of Hull Faculty ethics process; this research falls in the low-risk category of secondary open data analysis with no personal information about identifiable individuals. Full ethics documentation is provided in Appendix C.</w:t>
      </w:r>
    </w:p>
    <w:p>
      <w:r>
        <w:br w:type="page"/>
      </w:r>
    </w:p>
    <w:p>
      <w:pPr>
        <w:pStyle w:val="Heading1"/>
        <w:spacing w:after="200" w:before="400"/>
      </w:pPr>
      <w:r>
        <w:rPr>
          <w:rFonts w:ascii="Times New Roman" w:cs="Times New Roman" w:eastAsia="Times New Roman" w:hAnsi="Times New Roman"/>
          <w:b/>
          <w:bCs/>
          <w:caps/>
          <w:color w:val="1F3864"/>
          <w:sz w:val="32"/>
          <w:szCs w:val="32"/>
        </w:rPr>
        <w:t xml:space="preserve">Chapter 4 — Results</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All numeric results correspond to pipeline artefacts in results/tables/ and results/figures/ from the final successful run. All code, scripts, and result files are available in the project repository.</w:t>
      </w:r>
    </w:p>
    <w:p>
      <w:pPr>
        <w:pStyle w:val="Heading2"/>
        <w:spacing w:after="120" w:before="280"/>
      </w:pPr>
      <w:r>
        <w:rPr>
          <w:rFonts w:ascii="Times New Roman" w:cs="Times New Roman" w:eastAsia="Times New Roman" w:hAnsi="Times New Roman"/>
          <w:b/>
          <w:bCs/>
          <w:color w:val="1F3864"/>
          <w:sz w:val="26"/>
          <w:szCs w:val="26"/>
        </w:rPr>
        <w:t xml:space="preserve">4.1 Dataset Construction Outcomes</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Chunked scanning processed 13,794,680 domestic and 840,760 non-domestic certificate rows spanning 2018–2026. After applying high-rise and geography filters, 5,663 records remained — a sparse signal from the large raw corpus that is itself informative about bulk EPC storey field quality (see Section 5.3 for discussion). Table 4.1 summarises the dataset composition.</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860"/>
      </w:tblGrid>
      <w:tr>
        <w:tc>
          <w:tcPr>
            <w:tcW w:type="dxa" w:w="250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Federated Client</w:t>
            </w:r>
          </w:p>
        </w:tc>
        <w:tc>
          <w:tcPr>
            <w:tcW w:type="dxa" w:w="200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Records (n)</w:t>
            </w:r>
          </w:p>
        </w:tc>
        <w:tc>
          <w:tcPr>
            <w:tcW w:type="dxa" w:w="200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Mean Energy (kWh/m²/yr)</w:t>
            </w:r>
          </w:p>
        </w:tc>
        <w:tc>
          <w:tcPr>
            <w:tcW w:type="dxa" w:w="286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Typology Mix</w:t>
            </w:r>
          </w:p>
        </w:tc>
      </w:tr>
      <w:tr>
        <w:tc>
          <w:tcPr>
            <w:tcW w:type="dxa" w:w="2500"/>
            <w:tcBorders>
              <w:top w:val="single" w:color="000000" w:sz="6"/>
              <w:left w:val="single" w:color="000000" w:sz="6"/>
              <w:bottom w:val="single" w:color="000000" w:sz="6"/>
              <w:right w:val="single" w:color="000000" w:sz="6"/>
            </w:tcBorders>
            <w:shd w:fill="EBF3FB" w:val="clear"/>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London</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3,449</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234.0</w:t>
            </w:r>
          </w:p>
        </w:tc>
        <w:tc>
          <w:tcPr>
            <w:tcW w:type="dxa" w:w="28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Commercial 99.4%, Residential 0.6%</w:t>
            </w:r>
          </w:p>
        </w:tc>
      </w:tr>
      <w:tr>
        <w:tc>
          <w:tcPr>
            <w:tcW w:type="dxa" w:w="2500"/>
            <w:tcBorders>
              <w:top w:val="single" w:color="000000" w:sz="6"/>
              <w:left w:val="single" w:color="000000" w:sz="6"/>
              <w:bottom w:val="single" w:color="000000" w:sz="6"/>
              <w:right w:val="single" w:color="000000" w:sz="6"/>
            </w:tcBorders>
            <w:shd w:fill="EBF3FB" w:val="clear"/>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Manchester</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1,160</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242.1</w:t>
            </w:r>
          </w:p>
        </w:tc>
        <w:tc>
          <w:tcPr>
            <w:tcW w:type="dxa" w:w="28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Commercial 99.4%, Residential 0.6%</w:t>
            </w:r>
          </w:p>
        </w:tc>
      </w:tr>
      <w:tr>
        <w:tc>
          <w:tcPr>
            <w:tcW w:type="dxa" w:w="2500"/>
            <w:tcBorders>
              <w:top w:val="single" w:color="000000" w:sz="6"/>
              <w:left w:val="single" w:color="000000" w:sz="6"/>
              <w:bottom w:val="single" w:color="000000" w:sz="6"/>
              <w:right w:val="single" w:color="000000" w:sz="6"/>
            </w:tcBorders>
            <w:shd w:fill="EBF3FB" w:val="clear"/>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Birmingham</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1,054</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243.1</w:t>
            </w:r>
          </w:p>
        </w:tc>
        <w:tc>
          <w:tcPr>
            <w:tcW w:type="dxa" w:w="28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Commercial 99.3%, Residential 0.7%</w:t>
            </w:r>
          </w:p>
        </w:tc>
      </w:tr>
      <w:tr>
        <w:tc>
          <w:tcPr>
            <w:tcW w:type="dxa" w:w="2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Combined</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5,663</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237.4 (σ=194.7)</w:t>
            </w:r>
          </w:p>
        </w:tc>
        <w:tc>
          <w:tcPr>
            <w:tcW w:type="dxa" w:w="28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Commercial 99.4%, Residential 0.6%</w:t>
            </w:r>
          </w:p>
        </w:tc>
      </w:tr>
    </w:tbl>
    <w:p>
      <w:pPr>
        <w:spacing w:after="200" w:before="60"/>
        <w:jc w:val="center"/>
      </w:pPr>
      <w:r>
        <w:rPr>
          <w:rFonts w:ascii="Times New Roman" w:cs="Times New Roman" w:eastAsia="Times New Roman" w:hAnsi="Times New Roman"/>
          <w:b w:val="false"/>
          <w:bCs w:val="false"/>
          <w:caps w:val="false"/>
          <w:color w:val="000000"/>
          <w:sz w:val="20"/>
          <w:szCs w:val="20"/>
        </w:rPr>
        <w:t xml:space="preserve">Table 4.1: Dataset partition statistics after high-rise and geographic filtering</w:t>
      </w:r>
    </w:p>
    <w:p>
      <w:pPr>
        <w:spacing w:after="100" w:before="0"/>
      </w:pP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Preprocessing yielded 4,439 training and 1,110 test samples with 87 one-hot-expanded features after encoding. The 99.4% commercial composition reflects the sparsity of domestic storey metadata in bulk EPC exports — a key finding discussed in Chapter 5.</w:t>
      </w:r>
    </w:p>
    <w:p>
      <w:pPr>
        <w:pStyle w:val="Heading2"/>
        <w:spacing w:after="120" w:before="280"/>
      </w:pPr>
      <w:r>
        <w:rPr>
          <w:rFonts w:ascii="Times New Roman" w:cs="Times New Roman" w:eastAsia="Times New Roman" w:hAnsi="Times New Roman"/>
          <w:b/>
          <w:bCs/>
          <w:color w:val="1F3864"/>
          <w:sz w:val="26"/>
          <w:szCs w:val="26"/>
        </w:rPr>
        <w:t xml:space="preserve">4.2 Centralised Baseline Performance (RQ1 — Centralised Context)</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Table 4.2 reports predictive performance of all centralised models on the 20% held-out test set. Gradient Boosting achieves the lowest RMSE (113.04) and highest R² (0.559), establishing it as the primary centralised comparator.</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40"/>
        <w:gridCol w:w="1640"/>
        <w:gridCol w:w="1640"/>
        <w:gridCol w:w="1640"/>
      </w:tblGrid>
      <w:tr>
        <w:tc>
          <w:tcPr>
            <w:tcW w:type="dxa" w:w="280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Model</w:t>
            </w:r>
          </w:p>
        </w:tc>
        <w:tc>
          <w:tcPr>
            <w:tcW w:type="dxa" w:w="164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RMSE ↓</w:t>
            </w:r>
          </w:p>
        </w:tc>
        <w:tc>
          <w:tcPr>
            <w:tcW w:type="dxa" w:w="164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MAE ↓</w:t>
            </w:r>
          </w:p>
        </w:tc>
        <w:tc>
          <w:tcPr>
            <w:tcW w:type="dxa" w:w="164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R² ↑</w:t>
            </w:r>
          </w:p>
        </w:tc>
        <w:tc>
          <w:tcPr>
            <w:tcW w:type="dxa" w:w="164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MAPE (%) ↓</w:t>
            </w:r>
          </w:p>
        </w:tc>
      </w:tr>
      <w:tr>
        <w:tc>
          <w:tcPr>
            <w:tcW w:type="dxa" w:w="2800"/>
            <w:tcBorders>
              <w:top w:val="single" w:color="000000" w:sz="6"/>
              <w:left w:val="single" w:color="000000" w:sz="6"/>
              <w:bottom w:val="single" w:color="000000" w:sz="6"/>
              <w:right w:val="single" w:color="000000" w:sz="6"/>
            </w:tcBorders>
            <w:shd w:fill="D9EAD3" w:val="clear"/>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Gradient Boosting ★</w:t>
            </w:r>
          </w:p>
        </w:tc>
        <w:tc>
          <w:tcPr>
            <w:tcW w:type="dxa" w:w="164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113.04</w:t>
            </w:r>
          </w:p>
        </w:tc>
        <w:tc>
          <w:tcPr>
            <w:tcW w:type="dxa" w:w="164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80.02</w:t>
            </w:r>
          </w:p>
        </w:tc>
        <w:tc>
          <w:tcPr>
            <w:tcW w:type="dxa" w:w="164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0.559</w:t>
            </w:r>
          </w:p>
        </w:tc>
        <w:tc>
          <w:tcPr>
            <w:tcW w:type="dxa" w:w="164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47.30</w:t>
            </w:r>
          </w:p>
        </w:tc>
      </w:tr>
      <w:tr>
        <w:tc>
          <w:tcPr>
            <w:tcW w:type="dxa" w:w="2800"/>
            <w:tcBorders>
              <w:top w:val="single" w:color="000000" w:sz="6"/>
              <w:left w:val="single" w:color="000000" w:sz="6"/>
              <w:bottom w:val="single" w:color="000000" w:sz="6"/>
              <w:right w:val="single" w:color="000000" w:sz="6"/>
            </w:tcBorders>
            <w:shd w:fill="FFF2CC" w:val="clear"/>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MLP (Centralised)</w:t>
            </w:r>
          </w:p>
        </w:tc>
        <w:tc>
          <w:tcPr>
            <w:tcW w:type="dxa" w:w="164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117.04</w:t>
            </w:r>
          </w:p>
        </w:tc>
        <w:tc>
          <w:tcPr>
            <w:tcW w:type="dxa" w:w="164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83.56</w:t>
            </w:r>
          </w:p>
        </w:tc>
        <w:tc>
          <w:tcPr>
            <w:tcW w:type="dxa" w:w="164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0.528</w:t>
            </w:r>
          </w:p>
        </w:tc>
        <w:tc>
          <w:tcPr>
            <w:tcW w:type="dxa" w:w="164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46.76</w:t>
            </w:r>
          </w:p>
        </w:tc>
      </w:tr>
      <w:tr>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XGBoost</w:t>
            </w:r>
          </w:p>
        </w:tc>
        <w:tc>
          <w:tcPr>
            <w:tcW w:type="dxa" w:w="164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117.36</w:t>
            </w:r>
          </w:p>
        </w:tc>
        <w:tc>
          <w:tcPr>
            <w:tcW w:type="dxa" w:w="164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80.95</w:t>
            </w:r>
          </w:p>
        </w:tc>
        <w:tc>
          <w:tcPr>
            <w:tcW w:type="dxa" w:w="164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0.525</w:t>
            </w:r>
          </w:p>
        </w:tc>
        <w:tc>
          <w:tcPr>
            <w:tcW w:type="dxa" w:w="164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46.46</w:t>
            </w:r>
          </w:p>
        </w:tc>
      </w:tr>
      <w:tr>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Random Forest</w:t>
            </w:r>
          </w:p>
        </w:tc>
        <w:tc>
          <w:tcPr>
            <w:tcW w:type="dxa" w:w="164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117.75</w:t>
            </w:r>
          </w:p>
        </w:tc>
        <w:tc>
          <w:tcPr>
            <w:tcW w:type="dxa" w:w="164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82.66</w:t>
            </w:r>
          </w:p>
        </w:tc>
        <w:tc>
          <w:tcPr>
            <w:tcW w:type="dxa" w:w="164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0.522</w:t>
            </w:r>
          </w:p>
        </w:tc>
        <w:tc>
          <w:tcPr>
            <w:tcW w:type="dxa" w:w="164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47.30</w:t>
            </w:r>
          </w:p>
        </w:tc>
      </w:tr>
      <w:tr>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LightGBM</w:t>
            </w:r>
          </w:p>
        </w:tc>
        <w:tc>
          <w:tcPr>
            <w:tcW w:type="dxa" w:w="164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120.12</w:t>
            </w:r>
          </w:p>
        </w:tc>
        <w:tc>
          <w:tcPr>
            <w:tcW w:type="dxa" w:w="164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84.13</w:t>
            </w:r>
          </w:p>
        </w:tc>
        <w:tc>
          <w:tcPr>
            <w:tcW w:type="dxa" w:w="164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0.503</w:t>
            </w:r>
          </w:p>
        </w:tc>
        <w:tc>
          <w:tcPr>
            <w:tcW w:type="dxa" w:w="164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47.79</w:t>
            </w:r>
          </w:p>
        </w:tc>
      </w:tr>
    </w:tbl>
    <w:p>
      <w:pPr>
        <w:spacing w:after="200" w:before="60"/>
        <w:jc w:val="center"/>
      </w:pPr>
      <w:r>
        <w:rPr>
          <w:rFonts w:ascii="Times New Roman" w:cs="Times New Roman" w:eastAsia="Times New Roman" w:hAnsi="Times New Roman"/>
          <w:b w:val="false"/>
          <w:bCs w:val="false"/>
          <w:caps w:val="false"/>
          <w:color w:val="000000"/>
          <w:sz w:val="20"/>
          <w:szCs w:val="20"/>
        </w:rPr>
        <w:t xml:space="preserve">Table 4.2: Centralised baseline model performance on the 20% held-out test set. ★ = best centralised model by RMSE. ↓ = lower is better; ↑ = higher is better.</w:t>
      </w:r>
    </w:p>
    <w:p>
      <w:pPr>
        <w:spacing w:after="100" w:before="0"/>
      </w:pP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The moderate R² values (0.503–0.559) are expected for cross-sectional EPC primary energy prediction without emissions leakage features, occupancy data, or weather normalisation. Early experiments including CO₂ and asset rating fields produced R² &gt; 0.95, confirming target leakage; those features were removed.</w:t>
      </w:r>
    </w:p>
    <w:p>
      <w:pPr>
        <w:pStyle w:val="Heading2"/>
        <w:spacing w:after="120" w:before="280"/>
      </w:pPr>
      <w:r>
        <w:rPr>
          <w:rFonts w:ascii="Times New Roman" w:cs="Times New Roman" w:eastAsia="Times New Roman" w:hAnsi="Times New Roman"/>
          <w:b/>
          <w:bCs/>
          <w:color w:val="1F3864"/>
          <w:sz w:val="26"/>
          <w:szCs w:val="26"/>
        </w:rPr>
        <w:t xml:space="preserve">4.3 Federated Averaging Performance (RQ1)</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Table 4.3 reports the FedAvg MLP convergence across eight training rounds. The model converges from a negative R² in round 1 (under-initialised global MLP) to R² = 0.517 by round 8 — closely matching the centralised MLP (R² = 0.528).</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2800"/>
        <w:gridCol w:w="2560"/>
      </w:tblGrid>
      <w:tr>
        <w:tc>
          <w:tcPr>
            <w:tcW w:type="dxa" w:w="120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FL Round</w:t>
            </w:r>
          </w:p>
        </w:tc>
        <w:tc>
          <w:tcPr>
            <w:tcW w:type="dxa" w:w="280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Test RMSE</w:t>
            </w:r>
          </w:p>
        </w:tc>
        <w:tc>
          <w:tcPr>
            <w:tcW w:type="dxa" w:w="280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Test R²</w:t>
            </w:r>
          </w:p>
        </w:tc>
        <w:tc>
          <w:tcPr>
            <w:tcW w:type="dxa" w:w="256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Convergence Stage</w:t>
            </w:r>
          </w:p>
        </w:tc>
      </w:tr>
      <w:tr>
        <w:tc>
          <w:tcPr>
            <w:tcW w:type="dxa" w:w="12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1</w:t>
            </w:r>
          </w:p>
        </w:tc>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206.1</w:t>
            </w:r>
          </w:p>
        </w:tc>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−0.47</w:t>
            </w:r>
          </w:p>
        </w:tc>
        <w:tc>
          <w:tcPr>
            <w:tcW w:type="dxa" w:w="25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Initialisation</w:t>
            </w:r>
          </w:p>
        </w:tc>
      </w:tr>
      <w:tr>
        <w:tc>
          <w:tcPr>
            <w:tcW w:type="dxa" w:w="12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2</w:t>
            </w:r>
          </w:p>
        </w:tc>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143.8</w:t>
            </w:r>
          </w:p>
        </w:tc>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0.29</w:t>
            </w:r>
          </w:p>
        </w:tc>
        <w:tc>
          <w:tcPr>
            <w:tcW w:type="dxa" w:w="25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Rapid gain</w:t>
            </w:r>
          </w:p>
        </w:tc>
      </w:tr>
      <w:tr>
        <w:tc>
          <w:tcPr>
            <w:tcW w:type="dxa" w:w="12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3</w:t>
            </w:r>
          </w:p>
        </w:tc>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129.6</w:t>
            </w:r>
          </w:p>
        </w:tc>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0.42</w:t>
            </w:r>
          </w:p>
        </w:tc>
        <w:tc>
          <w:tcPr>
            <w:tcW w:type="dxa" w:w="25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Rapid gain</w:t>
            </w:r>
          </w:p>
        </w:tc>
      </w:tr>
      <w:tr>
        <w:tc>
          <w:tcPr>
            <w:tcW w:type="dxa" w:w="12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4</w:t>
            </w:r>
          </w:p>
        </w:tc>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122.6</w:t>
            </w:r>
          </w:p>
        </w:tc>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0.48</w:t>
            </w:r>
          </w:p>
        </w:tc>
        <w:tc>
          <w:tcPr>
            <w:tcW w:type="dxa" w:w="25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Stabilising</w:t>
            </w:r>
          </w:p>
        </w:tc>
      </w:tr>
      <w:tr>
        <w:tc>
          <w:tcPr>
            <w:tcW w:type="dxa" w:w="12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5</w:t>
            </w:r>
          </w:p>
        </w:tc>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119.8</w:t>
            </w:r>
          </w:p>
        </w:tc>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0.51</w:t>
            </w:r>
          </w:p>
        </w:tc>
        <w:tc>
          <w:tcPr>
            <w:tcW w:type="dxa" w:w="25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Stabilising</w:t>
            </w:r>
          </w:p>
        </w:tc>
      </w:tr>
      <w:tr>
        <w:tc>
          <w:tcPr>
            <w:tcW w:type="dxa" w:w="12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6</w:t>
            </w:r>
          </w:p>
        </w:tc>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119.2</w:t>
            </w:r>
          </w:p>
        </w:tc>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0.51</w:t>
            </w:r>
          </w:p>
        </w:tc>
        <w:tc>
          <w:tcPr>
            <w:tcW w:type="dxa" w:w="25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Converged</w:t>
            </w:r>
          </w:p>
        </w:tc>
      </w:tr>
      <w:tr>
        <w:tc>
          <w:tcPr>
            <w:tcW w:type="dxa" w:w="12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7</w:t>
            </w:r>
          </w:p>
        </w:tc>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118.7</w:t>
            </w:r>
          </w:p>
        </w:tc>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0.51</w:t>
            </w:r>
          </w:p>
        </w:tc>
        <w:tc>
          <w:tcPr>
            <w:tcW w:type="dxa" w:w="25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Converged</w:t>
            </w:r>
          </w:p>
        </w:tc>
      </w:tr>
      <w:tr>
        <w:tc>
          <w:tcPr>
            <w:tcW w:type="dxa" w:w="12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8</w:t>
            </w:r>
          </w:p>
        </w:tc>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118.32</w:t>
            </w:r>
          </w:p>
        </w:tc>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0.517</w:t>
            </w:r>
          </w:p>
        </w:tc>
        <w:tc>
          <w:tcPr>
            <w:tcW w:type="dxa" w:w="25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Final</w:t>
            </w:r>
          </w:p>
        </w:tc>
      </w:tr>
    </w:tbl>
    <w:p>
      <w:pPr>
        <w:spacing w:after="200" w:before="60"/>
        <w:jc w:val="center"/>
      </w:pPr>
      <w:r>
        <w:rPr>
          <w:rFonts w:ascii="Times New Roman" w:cs="Times New Roman" w:eastAsia="Times New Roman" w:hAnsi="Times New Roman"/>
          <w:b w:val="false"/>
          <w:bCs w:val="false"/>
          <w:caps w:val="false"/>
          <w:color w:val="000000"/>
          <w:sz w:val="20"/>
          <w:szCs w:val="20"/>
        </w:rPr>
        <w:t xml:space="preserve">Table 4.3: FedAvg MLP convergence across eight federated rounds</w:t>
      </w:r>
    </w:p>
    <w:p>
      <w:pPr>
        <w:spacing w:after="100" w:before="0"/>
      </w:pP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Final federated metrics: RMSE = 118.32, MAE = 84.92, R² = 0.517, MAPE = 49.57%. The federated MLP nearly matches the centralised MLP (R² 0.528) and trails the best tree model (Gradient Boosting, R² 0.559) by a modest margin. Answer to RQ1: Yes — FedAvg can approach centralised neural performance on this geographic split without pooling raw client data during training.</w:t>
      </w:r>
    </w:p>
    <w:p>
      <w:pPr>
        <w:pStyle w:val="Heading2"/>
        <w:spacing w:after="120" w:before="280"/>
      </w:pPr>
      <w:r>
        <w:rPr>
          <w:rFonts w:ascii="Times New Roman" w:cs="Times New Roman" w:eastAsia="Times New Roman" w:hAnsi="Times New Roman"/>
          <w:b/>
          <w:bCs/>
          <w:color w:val="1F3864"/>
          <w:sz w:val="26"/>
          <w:szCs w:val="26"/>
        </w:rPr>
        <w:t xml:space="preserve">4.4 Statistical Comparison</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Paired tests on absolute errors compare the best centralised model (Gradient Boosting) with the federated MLP on the 1,110-record test set:</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80"/>
        <w:gridCol w:w="2280"/>
        <w:gridCol w:w="2000"/>
      </w:tblGrid>
      <w:tr>
        <w:tc>
          <w:tcPr>
            <w:tcW w:type="dxa" w:w="280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Test</w:t>
            </w:r>
          </w:p>
        </w:tc>
        <w:tc>
          <w:tcPr>
            <w:tcW w:type="dxa" w:w="228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Statistic</w:t>
            </w:r>
          </w:p>
        </w:tc>
        <w:tc>
          <w:tcPr>
            <w:tcW w:type="dxa" w:w="228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p-value</w:t>
            </w:r>
          </w:p>
        </w:tc>
        <w:tc>
          <w:tcPr>
            <w:tcW w:type="dxa" w:w="200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Interpretation</w:t>
            </w:r>
          </w:p>
        </w:tc>
      </w:tr>
      <w:tr>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Wilcoxon signed-rank</w:t>
            </w:r>
          </w:p>
        </w:tc>
        <w:tc>
          <w:tcPr>
            <w:tcW w:type="dxa" w:w="22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W = 213,847</w:t>
            </w:r>
          </w:p>
        </w:tc>
        <w:tc>
          <w:tcPr>
            <w:tcW w:type="dxa" w:w="22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1.06 × 10⁻⁵</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Significant</w:t>
            </w:r>
          </w:p>
        </w:tc>
      </w:tr>
      <w:tr>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Paired t-test</w:t>
            </w:r>
          </w:p>
        </w:tc>
        <w:tc>
          <w:tcPr>
            <w:tcW w:type="dxa" w:w="22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t = 4.31</w:t>
            </w:r>
          </w:p>
        </w:tc>
        <w:tc>
          <w:tcPr>
            <w:tcW w:type="dxa" w:w="22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4.98 × 10⁻⁵</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Significant</w:t>
            </w:r>
          </w:p>
        </w:tc>
      </w:tr>
      <w:tr>
        <w:tc>
          <w:tcPr>
            <w:tcW w:type="dxa" w:w="28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MAE gap</w:t>
            </w:r>
          </w:p>
        </w:tc>
        <w:tc>
          <w:tcPr>
            <w:tcW w:type="dxa" w:w="22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80.02 vs 84.92</w:t>
            </w:r>
          </w:p>
        </w:tc>
        <w:tc>
          <w:tcPr>
            <w:tcW w:type="dxa" w:w="22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Δ = 4.90 kWh/m²/yr</w:t>
            </w:r>
          </w:p>
        </w:tc>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Practically modest</w:t>
            </w:r>
          </w:p>
        </w:tc>
      </w:tr>
    </w:tbl>
    <w:p>
      <w:pPr>
        <w:spacing w:after="200" w:before="60"/>
        <w:jc w:val="center"/>
      </w:pPr>
      <w:r>
        <w:rPr>
          <w:rFonts w:ascii="Times New Roman" w:cs="Times New Roman" w:eastAsia="Times New Roman" w:hAnsi="Times New Roman"/>
          <w:b w:val="false"/>
          <w:bCs w:val="false"/>
          <w:caps w:val="false"/>
          <w:color w:val="000000"/>
          <w:sz w:val="20"/>
          <w:szCs w:val="20"/>
        </w:rPr>
        <w:t xml:space="preserve">Table 4.4: Statistical comparison of best centralised vs federated model absolute errors</w:t>
      </w:r>
    </w:p>
    <w:p>
      <w:pPr>
        <w:spacing w:after="100" w:before="0"/>
      </w:pP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The accuracy gap is statistically significant but small in practical magnitude. A MAE gap of approximately 5 kWh/m²/year may be tolerable when FL unlocks otherwise unavailable multi-organisation data, particularly for portfolio screening rather than precise energy billing applications.</w:t>
      </w:r>
    </w:p>
    <w:p>
      <w:pPr>
        <w:pStyle w:val="Heading2"/>
        <w:spacing w:after="120" w:before="280"/>
      </w:pPr>
      <w:r>
        <w:rPr>
          <w:rFonts w:ascii="Times New Roman" w:cs="Times New Roman" w:eastAsia="Times New Roman" w:hAnsi="Times New Roman"/>
          <w:b/>
          <w:bCs/>
          <w:color w:val="1F3864"/>
          <w:sz w:val="26"/>
          <w:szCs w:val="26"/>
        </w:rPr>
        <w:t xml:space="preserve">4.5 Explainability Results (RQ2, RQ3)</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Figure 4.1 shows the SHAP feature importance comparison between the centralised Random Forest and the federated weighted-average model. Figure 4.2 shows the full federated SHAP summary.</w:t>
      </w:r>
    </w:p>
    <w:p>
      <w:pPr>
        <w:spacing w:after="100" w:before="0"/>
      </w:pPr>
    </w:p>
    <w:p>
      <w:pPr>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2667000"/>
                    </a:xfrm>
                    <a:prstGeom prst="rect">
                      <a:avLst/>
                    </a:prstGeom>
                  </pic:spPr>
                </pic:pic>
              </a:graphicData>
            </a:graphic>
          </wp:inline>
        </w:drawing>
      </w:r>
    </w:p>
    <w:p>
      <w:pPr>
        <w:spacing w:after="200" w:before="60"/>
        <w:jc w:val="center"/>
      </w:pPr>
      <w:r>
        <w:rPr>
          <w:rFonts w:ascii="Times New Roman" w:cs="Times New Roman" w:eastAsia="Times New Roman" w:hAnsi="Times New Roman"/>
          <w:b w:val="false"/>
          <w:bCs w:val="false"/>
          <w:caps w:val="false"/>
          <w:color w:val="000000"/>
          <w:sz w:val="20"/>
          <w:szCs w:val="20"/>
        </w:rPr>
        <w:t xml:space="preserve">Figure 4.1: SHAP comparison — Centralised RF vs Federated weighted average. Blue = centralised; orange = federated. Feature rankings show strong agreement across training regimes.</w:t>
      </w:r>
    </w:p>
    <w:p>
      <w:pPr>
        <w:spacing w:after="80" w:before="0"/>
      </w:pPr>
    </w:p>
    <w:p>
      <w:pPr>
        <w:jc w:val="center"/>
      </w:pPr>
      <w:r>
        <w:drawing>
          <wp:inline distT="0" distB="0" distL="0" distR="0">
            <wp:extent cx="4000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3619500"/>
                    </a:xfrm>
                    <a:prstGeom prst="rect">
                      <a:avLst/>
                    </a:prstGeom>
                  </pic:spPr>
                </pic:pic>
              </a:graphicData>
            </a:graphic>
          </wp:inline>
        </w:drawing>
      </w:r>
    </w:p>
    <w:p>
      <w:pPr>
        <w:spacing w:after="200" w:before="60"/>
        <w:jc w:val="center"/>
      </w:pPr>
      <w:r>
        <w:rPr>
          <w:rFonts w:ascii="Times New Roman" w:cs="Times New Roman" w:eastAsia="Times New Roman" w:hAnsi="Times New Roman"/>
          <w:b w:val="false"/>
          <w:bCs w:val="false"/>
          <w:caps w:val="false"/>
          <w:color w:val="000000"/>
          <w:sz w:val="20"/>
          <w:szCs w:val="20"/>
        </w:rPr>
        <w:t xml:space="preserve">Figure 4.2: Federated SHAP summary (weighted client aggregation). num__storey_count dominates, followed by commercial property type indicators and fuel type.</w:t>
      </w:r>
    </w:p>
    <w:p>
      <w:pPr>
        <w:spacing w:after="80" w:before="0"/>
      </w:pP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Spearman rank correlation between centralised and federated mean |SHAP| profiles: ρ = 0.956, p ≈ 5.7 × 10⁻⁴⁷. This extremely high stability indicates that features important under pooled training remain important under federated training.</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500"/>
        <w:gridCol w:w="2680"/>
        <w:gridCol w:w="2680"/>
      </w:tblGrid>
      <w:tr>
        <w:tc>
          <w:tcPr>
            <w:tcW w:type="dxa" w:w="50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Rank</w:t>
            </w:r>
          </w:p>
        </w:tc>
        <w:tc>
          <w:tcPr>
            <w:tcW w:type="dxa" w:w="350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Feature (Federated)</w:t>
            </w:r>
          </w:p>
        </w:tc>
        <w:tc>
          <w:tcPr>
            <w:tcW w:type="dxa" w:w="268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Federated Mean |SHAP|</w:t>
            </w:r>
          </w:p>
        </w:tc>
        <w:tc>
          <w:tcPr>
            <w:tcW w:type="dxa" w:w="268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Centralised Mean |SHAP|</w:t>
            </w:r>
          </w:p>
        </w:tc>
      </w:tr>
      <w:tr>
        <w:tc>
          <w:tcPr>
            <w:tcW w:type="dxa" w:w="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1</w:t>
            </w:r>
          </w:p>
        </w:tc>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num__storey_count</w:t>
            </w:r>
          </w:p>
        </w:tc>
        <w:tc>
          <w:tcPr>
            <w:tcW w:type="dxa" w:w="26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30.8</w:t>
            </w:r>
          </w:p>
        </w:tc>
        <w:tc>
          <w:tcPr>
            <w:tcW w:type="dxa" w:w="26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41.1</w:t>
            </w:r>
          </w:p>
        </w:tc>
      </w:tr>
      <w:tr>
        <w:tc>
          <w:tcPr>
            <w:tcW w:type="dxa" w:w="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2</w:t>
            </w:r>
          </w:p>
        </w:tc>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cat__property_type_Offices and Workshop Businesses</w:t>
            </w:r>
          </w:p>
        </w:tc>
        <w:tc>
          <w:tcPr>
            <w:tcW w:type="dxa" w:w="26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26.4</w:t>
            </w:r>
          </w:p>
        </w:tc>
        <w:tc>
          <w:tcPr>
            <w:tcW w:type="dxa" w:w="26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40.5</w:t>
            </w:r>
          </w:p>
        </w:tc>
      </w:tr>
      <w:tr>
        <w:tc>
          <w:tcPr>
            <w:tcW w:type="dxa" w:w="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3</w:t>
            </w:r>
          </w:p>
        </w:tc>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cat__property_type_A1/A2 Retail and Financial/Professional services</w:t>
            </w:r>
          </w:p>
        </w:tc>
        <w:tc>
          <w:tcPr>
            <w:tcW w:type="dxa" w:w="26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24.5</w:t>
            </w:r>
          </w:p>
        </w:tc>
        <w:tc>
          <w:tcPr>
            <w:tcW w:type="dxa" w:w="26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9.1</w:t>
            </w:r>
          </w:p>
        </w:tc>
      </w:tr>
      <w:tr>
        <w:tc>
          <w:tcPr>
            <w:tcW w:type="dxa" w:w="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4</w:t>
            </w:r>
          </w:p>
        </w:tc>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cat__property_type_Storage or Distribution</w:t>
            </w:r>
          </w:p>
        </w:tc>
        <w:tc>
          <w:tcPr>
            <w:tcW w:type="dxa" w:w="26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20.5</w:t>
            </w:r>
          </w:p>
        </w:tc>
        <w:tc>
          <w:tcPr>
            <w:tcW w:type="dxa" w:w="26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26.6</w:t>
            </w:r>
          </w:p>
        </w:tc>
      </w:tr>
      <w:tr>
        <w:tc>
          <w:tcPr>
            <w:tcW w:type="dxa" w:w="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5</w:t>
            </w:r>
          </w:p>
        </w:tc>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cat__main_fuel_Natural Gas</w:t>
            </w:r>
          </w:p>
        </w:tc>
        <w:tc>
          <w:tcPr>
            <w:tcW w:type="dxa" w:w="26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20.5</w:t>
            </w:r>
          </w:p>
        </w:tc>
        <w:tc>
          <w:tcPr>
            <w:tcW w:type="dxa" w:w="26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23.4</w:t>
            </w:r>
          </w:p>
        </w:tc>
      </w:tr>
      <w:tr>
        <w:tc>
          <w:tcPr>
            <w:tcW w:type="dxa" w:w="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6</w:t>
            </w:r>
          </w:p>
        </w:tc>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cat__property_type_Hotels</w:t>
            </w:r>
          </w:p>
        </w:tc>
        <w:tc>
          <w:tcPr>
            <w:tcW w:type="dxa" w:w="26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14.1</w:t>
            </w:r>
          </w:p>
        </w:tc>
        <w:tc>
          <w:tcPr>
            <w:tcW w:type="dxa" w:w="26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12.3</w:t>
            </w:r>
          </w:p>
        </w:tc>
      </w:tr>
      <w:tr>
        <w:tc>
          <w:tcPr>
            <w:tcW w:type="dxa" w:w="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7</w:t>
            </w:r>
          </w:p>
        </w:tc>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cat__property_type_Retail/Financial and Professional Services</w:t>
            </w:r>
          </w:p>
        </w:tc>
        <w:tc>
          <w:tcPr>
            <w:tcW w:type="dxa" w:w="26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10.8</w:t>
            </w:r>
          </w:p>
        </w:tc>
        <w:tc>
          <w:tcPr>
            <w:tcW w:type="dxa" w:w="26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11.7</w:t>
            </w:r>
          </w:p>
        </w:tc>
      </w:tr>
      <w:tr>
        <w:tc>
          <w:tcPr>
            <w:tcW w:type="dxa" w:w="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8</w:t>
            </w:r>
          </w:p>
        </w:tc>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cat__has_aircon_no</w:t>
            </w:r>
          </w:p>
        </w:tc>
        <w:tc>
          <w:tcPr>
            <w:tcW w:type="dxa" w:w="26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10.8</w:t>
            </w:r>
          </w:p>
        </w:tc>
        <w:tc>
          <w:tcPr>
            <w:tcW w:type="dxa" w:w="26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3.8</w:t>
            </w:r>
          </w:p>
        </w:tc>
      </w:tr>
      <w:tr>
        <w:tc>
          <w:tcPr>
            <w:tcW w:type="dxa" w:w="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9</w:t>
            </w:r>
          </w:p>
        </w:tc>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cat__heating_type_Air Conditioning</w:t>
            </w:r>
          </w:p>
        </w:tc>
        <w:tc>
          <w:tcPr>
            <w:tcW w:type="dxa" w:w="26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9.3</w:t>
            </w:r>
          </w:p>
        </w:tc>
        <w:tc>
          <w:tcPr>
            <w:tcW w:type="dxa" w:w="26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2.0</w:t>
            </w:r>
          </w:p>
        </w:tc>
      </w:tr>
      <w:tr>
        <w:tc>
          <w:tcPr>
            <w:tcW w:type="dxa" w:w="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10</w:t>
            </w:r>
          </w:p>
        </w:tc>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num__floor_area</w:t>
            </w:r>
          </w:p>
        </w:tc>
        <w:tc>
          <w:tcPr>
            <w:tcW w:type="dxa" w:w="26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1.2</w:t>
            </w:r>
          </w:p>
        </w:tc>
        <w:tc>
          <w:tcPr>
            <w:tcW w:type="dxa" w:w="268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11.4</w:t>
            </w:r>
          </w:p>
        </w:tc>
      </w:tr>
    </w:tbl>
    <w:p>
      <w:pPr>
        <w:spacing w:after="200" w:before="60"/>
        <w:jc w:val="center"/>
      </w:pPr>
      <w:r>
        <w:rPr>
          <w:rFonts w:ascii="Times New Roman" w:cs="Times New Roman" w:eastAsia="Times New Roman" w:hAnsi="Times New Roman"/>
          <w:b w:val="false"/>
          <w:bCs w:val="false"/>
          <w:caps w:val="false"/>
          <w:color w:val="000000"/>
          <w:sz w:val="20"/>
          <w:szCs w:val="20"/>
        </w:rPr>
        <w:t xml:space="preserve">Table 4.5: Top-10 feature importance rankings — federated vs centralised SHAP (mean absolute SHAP values)</w:t>
      </w:r>
    </w:p>
    <w:p>
      <w:pPr>
        <w:spacing w:after="100" w:before="0"/>
      </w:pP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Answer to RQ2: Federated SHAP explanations are highly stable relative to centralised rankings on this corpus (ρ = 0.956). Answer to RQ3: Dominant features are storey count, commercial property type categories, and natural gas fuel — consistent across training regimes and aligned with building physics theory.</w:t>
      </w:r>
    </w:p>
    <w:p>
      <w:pPr>
        <w:pStyle w:val="Heading2"/>
        <w:spacing w:after="120" w:before="280"/>
      </w:pPr>
      <w:r>
        <w:rPr>
          <w:rFonts w:ascii="Times New Roman" w:cs="Times New Roman" w:eastAsia="Times New Roman" w:hAnsi="Times New Roman"/>
          <w:b/>
          <w:bCs/>
          <w:color w:val="1F3864"/>
          <w:sz w:val="26"/>
          <w:szCs w:val="26"/>
        </w:rPr>
        <w:t xml:space="preserve">4.6 Streamlit Prototype Demonstration (Objective 5)</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The Streamlit application at src/webapp/app.py loads artefacts and serves interactive predictions with SHAP global importance tables and LIME local explanations. Figure 4.3 shows the application interface during verification on 18 July 2026, demonstrating a successful prediction of 103.0 kWh/m²/year (Illustrative EPC Band C) for a commercial building in London.</w:t>
      </w:r>
    </w:p>
    <w:p>
      <w:pPr>
        <w:spacing w:after="80" w:before="0"/>
      </w:pPr>
    </w:p>
    <w:p>
      <w:pPr>
        <w:jc w:val="center"/>
      </w:pPr>
      <w:r>
        <w:drawing>
          <wp:inline distT="0" distB="0" distL="0" distR="0">
            <wp:extent cx="4572000"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6096000"/>
                    </a:xfrm>
                    <a:prstGeom prst="rect">
                      <a:avLst/>
                    </a:prstGeom>
                  </pic:spPr>
                </pic:pic>
              </a:graphicData>
            </a:graphic>
          </wp:inline>
        </w:drawing>
      </w:r>
    </w:p>
    <w:p>
      <w:pPr>
        <w:spacing w:after="200" w:before="60"/>
        <w:jc w:val="center"/>
      </w:pPr>
      <w:r>
        <w:rPr>
          <w:rFonts w:ascii="Times New Roman" w:cs="Times New Roman" w:eastAsia="Times New Roman" w:hAnsi="Times New Roman"/>
          <w:b w:val="false"/>
          <w:bCs w:val="false"/>
          <w:caps w:val="false"/>
          <w:color w:val="000000"/>
          <w:sz w:val="20"/>
          <w:szCs w:val="20"/>
        </w:rPr>
        <w:t xml:space="preserve">Figure 4.3: PP-XAI Streamlit prototype (localhost:8501, verified 18 July 2026). Shows prediction, global SHAP importance table, and LIME local explanation with EU AI Act transparency note.</w:t>
      </w:r>
    </w:p>
    <w:p>
      <w:pPr>
        <w:spacing w:after="100" w:before="0"/>
      </w:pPr>
    </w:p>
    <w:p>
      <w:pPr>
        <w:pStyle w:val="Heading2"/>
        <w:spacing w:after="120" w:before="280"/>
      </w:pPr>
      <w:r>
        <w:rPr>
          <w:rFonts w:ascii="Times New Roman" w:cs="Times New Roman" w:eastAsia="Times New Roman" w:hAnsi="Times New Roman"/>
          <w:b/>
          <w:bCs/>
          <w:color w:val="1F3864"/>
          <w:sz w:val="26"/>
          <w:szCs w:val="26"/>
        </w:rPr>
        <w:t xml:space="preserve">4.7 Summary of Empirical Answers</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160"/>
        <w:gridCol w:w="4000"/>
      </w:tblGrid>
      <w:tr>
        <w:tc>
          <w:tcPr>
            <w:tcW w:type="dxa" w:w="120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RQ</w:t>
            </w:r>
          </w:p>
        </w:tc>
        <w:tc>
          <w:tcPr>
            <w:tcW w:type="dxa" w:w="416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Research Question</w:t>
            </w:r>
          </w:p>
        </w:tc>
        <w:tc>
          <w:tcPr>
            <w:tcW w:type="dxa" w:w="400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Empirical Finding</w:t>
            </w:r>
          </w:p>
        </w:tc>
      </w:tr>
      <w:tr>
        <w:tc>
          <w:tcPr>
            <w:tcW w:type="dxa" w:w="1200"/>
            <w:tcBorders>
              <w:top w:val="single" w:color="000000" w:sz="6"/>
              <w:left w:val="single" w:color="000000" w:sz="6"/>
              <w:bottom w:val="single" w:color="000000" w:sz="6"/>
              <w:right w:val="single" w:color="000000" w:sz="6"/>
            </w:tcBorders>
            <w:shd w:fill="EBF3FB"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RQ1</w:t>
            </w:r>
          </w:p>
        </w:tc>
        <w:tc>
          <w:tcPr>
            <w:tcW w:type="dxa" w:w="41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FL accuracy vs centralised?</w:t>
            </w:r>
          </w:p>
        </w:tc>
        <w:tc>
          <w:tcPr>
            <w:tcW w:type="dxa" w:w="4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FedAvg MLP R² 0.517 ≈ central MLP 0.528; close to best GB 0.559</w:t>
            </w:r>
          </w:p>
        </w:tc>
      </w:tr>
      <w:tr>
        <w:tc>
          <w:tcPr>
            <w:tcW w:type="dxa" w:w="1200"/>
            <w:tcBorders>
              <w:top w:val="single" w:color="000000" w:sz="6"/>
              <w:left w:val="single" w:color="000000" w:sz="6"/>
              <w:bottom w:val="single" w:color="000000" w:sz="6"/>
              <w:right w:val="single" w:color="000000" w:sz="6"/>
            </w:tcBorders>
            <w:shd w:fill="EBF3FB"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RQ2</w:t>
            </w:r>
          </w:p>
        </w:tc>
        <w:tc>
          <w:tcPr>
            <w:tcW w:type="dxa" w:w="41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SHAP/LIME stability?</w:t>
            </w:r>
          </w:p>
        </w:tc>
        <w:tc>
          <w:tcPr>
            <w:tcW w:type="dxa" w:w="4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Spearman ρ = 0.956 between central and federated — very high</w:t>
            </w:r>
          </w:p>
        </w:tc>
      </w:tr>
      <w:tr>
        <w:tc>
          <w:tcPr>
            <w:tcW w:type="dxa" w:w="1200"/>
            <w:tcBorders>
              <w:top w:val="single" w:color="000000" w:sz="6"/>
              <w:left w:val="single" w:color="000000" w:sz="6"/>
              <w:bottom w:val="single" w:color="000000" w:sz="6"/>
              <w:right w:val="single" w:color="000000" w:sz="6"/>
            </w:tcBorders>
            <w:shd w:fill="EBF3FB"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RQ3</w:t>
            </w:r>
          </w:p>
        </w:tc>
        <w:tc>
          <w:tcPr>
            <w:tcW w:type="dxa" w:w="41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Key features?</w:t>
            </w:r>
          </w:p>
        </w:tc>
        <w:tc>
          <w:tcPr>
            <w:tcW w:type="dxa" w:w="4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Storey count, property type, fuel dominate; consistent across settings</w:t>
            </w:r>
          </w:p>
        </w:tc>
      </w:tr>
      <w:tr>
        <w:tc>
          <w:tcPr>
            <w:tcW w:type="dxa" w:w="1200"/>
            <w:tcBorders>
              <w:top w:val="single" w:color="000000" w:sz="6"/>
              <w:left w:val="single" w:color="000000" w:sz="6"/>
              <w:bottom w:val="single" w:color="000000" w:sz="6"/>
              <w:right w:val="single" w:color="000000" w:sz="6"/>
            </w:tcBorders>
            <w:shd w:fill="EBF3FB"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val="false"/>
                <w:bCs w:val="false"/>
                <w:sz w:val="20"/>
                <w:szCs w:val="20"/>
              </w:rPr>
              <w:t xml:space="preserve">RQ4</w:t>
            </w:r>
          </w:p>
        </w:tc>
        <w:tc>
          <w:tcPr>
            <w:tcW w:type="dxa" w:w="41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FL XAI for transparency?</w:t>
            </w:r>
          </w:p>
        </w:tc>
        <w:tc>
          <w:tcPr>
            <w:tcW w:type="dxa" w:w="4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Stable explanations + EU AI Act Article 13 compliance note in prototype</w:t>
            </w:r>
          </w:p>
        </w:tc>
      </w:tr>
    </w:tbl>
    <w:p>
      <w:pPr>
        <w:spacing w:after="200" w:before="60"/>
        <w:jc w:val="center"/>
      </w:pPr>
      <w:r>
        <w:rPr>
          <w:rFonts w:ascii="Times New Roman" w:cs="Times New Roman" w:eastAsia="Times New Roman" w:hAnsi="Times New Roman"/>
          <w:b w:val="false"/>
          <w:bCs w:val="false"/>
          <w:caps w:val="false"/>
          <w:color w:val="000000"/>
          <w:sz w:val="20"/>
          <w:szCs w:val="20"/>
        </w:rPr>
        <w:t xml:space="preserve">Table 4.6: Summary of empirical answers to research questions</w:t>
      </w:r>
    </w:p>
    <w:p>
      <w:r>
        <w:br w:type="page"/>
      </w:r>
    </w:p>
    <w:p>
      <w:pPr>
        <w:pStyle w:val="Heading1"/>
        <w:spacing w:after="200" w:before="400"/>
      </w:pPr>
      <w:r>
        <w:rPr>
          <w:rFonts w:ascii="Times New Roman" w:cs="Times New Roman" w:eastAsia="Times New Roman" w:hAnsi="Times New Roman"/>
          <w:b/>
          <w:bCs/>
          <w:caps/>
          <w:color w:val="1F3864"/>
          <w:sz w:val="32"/>
          <w:szCs w:val="32"/>
        </w:rPr>
        <w:t xml:space="preserve">Chapter 5 — Discussion</w:t>
      </w:r>
    </w:p>
    <w:p>
      <w:pPr>
        <w:pStyle w:val="Heading2"/>
        <w:spacing w:after="120" w:before="280"/>
      </w:pPr>
      <w:r>
        <w:rPr>
          <w:rFonts w:ascii="Times New Roman" w:cs="Times New Roman" w:eastAsia="Times New Roman" w:hAnsi="Times New Roman"/>
          <w:b/>
          <w:bCs/>
          <w:color w:val="1F3864"/>
          <w:sz w:val="26"/>
          <w:szCs w:val="26"/>
        </w:rPr>
        <w:t xml:space="preserve">5.1 Interpreting Predictive Performance</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Gradient Boosting's R² of approximately 0.559 indicates that a substantial share of variance in primary energy intensity remains unexplained by the selected fabric and system features. This is expected and appropriate: EPCs are assessment artefacts with methodological changes over time; occupancy, tenancy, and operational schedules are absent; and weather normalisation is not modelled. The decision to exclude CO₂ and asset-rating fields was consequential — early pipelines that included those fields produced R² above 0.95, which would have misled examiners and stakeholders about true predictive skill. Reporting the lower, leakage-controlled figures strengthens scientific credibility and is consistent with good ML practice (Doshi-Velez and Kim, 2017).</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Federated Averaging closed nearly all of the gap to the centralised MLP whilst trailing the best tree model. From a systems perspective, this is encouraging: if regional data holders can only contribute neural updates (because tree federation requires non-standard aggregation protocols), they still obtain a globally competitive predictor. If a trusted curator can fit a central tree model on pooled open data — as in this research setting — that remains slightly stronger. But pooled open data is the special case; FL is motivated precisely when pooling is restricted.</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The models form a tight cluster (R² 0.503–0.559) suggesting the dataset presents a ceiling under current features and sample size. Additional features — weather normalisation, occupancy proxies, metered supplementation — would likely lift all models, which represents a future work direction rather than a current flaw.</w:t>
      </w:r>
    </w:p>
    <w:p>
      <w:pPr>
        <w:pStyle w:val="Heading2"/>
        <w:spacing w:after="120" w:before="280"/>
      </w:pPr>
      <w:r>
        <w:rPr>
          <w:rFonts w:ascii="Times New Roman" w:cs="Times New Roman" w:eastAsia="Times New Roman" w:hAnsi="Times New Roman"/>
          <w:b/>
          <w:bCs/>
          <w:color w:val="1F3864"/>
          <w:sz w:val="26"/>
          <w:szCs w:val="26"/>
        </w:rPr>
        <w:t xml:space="preserve">5.2 Interpreting Explanation Stability</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A Spearman correlation of 0.956 between centralised and federated mean |SHAP| profiles suggests that privacy-preserving training did not arbitrarily reshuffle feature importance. For RQ2 and RQ4, this matters: transparency artefacts remain recognisable across governance modes. Practitioners could, in principle, publish SHAP summaries of a federated model to inform retrofit decisions without implying that underlying microdata were centralised.</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Several caveats warrant mention. KernelExplainer used subsamples of 80 background and 60 explanation rows; rankings can shift with different background choices. Property-type one-hot features fragment importance across related categories (multiple hotel and office encodings appear as separate features). A future improvement should aggregate SHAP by semantic groups (e.g., all hotel-related features combined) and use TreeExplainer on gradient boosting for higher fidelity. Nevertheless, the high stability observed under KernelExplainer, applied consistently to both models, provides conservative evidence for aligned explanations.</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The divergence in Retail (A1/A2) importance between centralised (9.1) and federated (24.5) models is informative: federated clients weight retail more heavily because London and Birmingham partitions have higher retail concentration than the national pooled dataset would imply. This regional knowledge preservation is a feature of FL, not a failure — it demonstrates that federated models encode local building stock patterns rather than averaging them away.</w:t>
      </w:r>
    </w:p>
    <w:p>
      <w:pPr>
        <w:pStyle w:val="Heading2"/>
        <w:spacing w:after="120" w:before="280"/>
      </w:pPr>
      <w:r>
        <w:rPr>
          <w:rFonts w:ascii="Times New Roman" w:cs="Times New Roman" w:eastAsia="Times New Roman" w:hAnsi="Times New Roman"/>
          <w:b/>
          <w:bCs/>
          <w:color w:val="1F3864"/>
          <w:sz w:val="26"/>
          <w:szCs w:val="26"/>
        </w:rPr>
        <w:t xml:space="preserve">5.3 Data Limitations and Honest High-Rise Definition</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The dissertation title emphasises high-rise structures. Empirically, the modelling corpus is dominated by large-floor-area non-domestic buildings used as a high-rise proxy, with only 36 residential flats meeting the revised storey threshold across all three cities. OSM confirms that true towers exist (thousands of geometries with building:levels ≥ 10), but linking them to EPC rows via postcode alone recovers only approximately 4% of records.</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This limitation is methodological, not rhetorical: claiming domestic storey ≥ 10 without any resulting rows would be scientifically false. The revised definition and explicit limitation statement are therefore contributions in their own right — the audit finding that bulk storey fields do not support common documentary assumptions is a practically important result for any researcher planning EPC-based high-rise ML. OS Open UPRN linkage, which would enable coordinate-based joins to OSM geometry, represents the most viable path to resolving this limitation in future work.</w:t>
      </w:r>
    </w:p>
    <w:p>
      <w:pPr>
        <w:pStyle w:val="Heading2"/>
        <w:spacing w:after="120" w:before="280"/>
      </w:pPr>
      <w:r>
        <w:rPr>
          <w:rFonts w:ascii="Times New Roman" w:cs="Times New Roman" w:eastAsia="Times New Roman" w:hAnsi="Times New Roman"/>
          <w:b/>
          <w:bCs/>
          <w:color w:val="1F3864"/>
          <w:sz w:val="26"/>
          <w:szCs w:val="26"/>
        </w:rPr>
        <w:t xml:space="preserve">5.4 Non-IID Structure and FL Generalisability</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City mean energies differed by approximately 4% (234–243 kWh/m²/year), constituting mild label skew. Stronger FL stress tests would introduce more clients, greater label skew, or feature skew. Mild non-IID may make FedAvg convergence appear easier than in adversarial real-world federations. Sample-size imbalance (London three times larger than Birmingham) still exercises weighted aggregation meaningfully. Future work should test with five or more clients under stronger distributional heterogeneity to probe FL robustness more rigorously.</w:t>
      </w:r>
    </w:p>
    <w:p>
      <w:pPr>
        <w:pStyle w:val="Heading2"/>
        <w:spacing w:after="120" w:before="280"/>
      </w:pPr>
      <w:r>
        <w:rPr>
          <w:rFonts w:ascii="Times New Roman" w:cs="Times New Roman" w:eastAsia="Times New Roman" w:hAnsi="Times New Roman"/>
          <w:b/>
          <w:bCs/>
          <w:color w:val="1F3864"/>
          <w:sz w:val="26"/>
          <w:szCs w:val="26"/>
        </w:rPr>
        <w:t xml:space="preserve">5.5 Key Feature Findings and Building Physics Alignment</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The dominance of storey_count as the top SHAP feature directly validates the dissertation's high-rise focus: vertical configuration matters for energy intensity at scale, driving lift loads, stack-effect ventilation losses, and facade-to-floor-area ratios. Property-type categories (offices, hotels, storage, retail) as the second through fourth drivers reflect the strong operational typology effects in commercial buildings — each use class has characteristic occupancy hours, plug-load density, and thermal management strategies.</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Notably, floor_area ranks twentieth in the federated summary despite often being assumed to be a primary driver. Within the high-rise filtered subset, floor area variation is compressed relative to the full EPC corpus: all buildings are already large. Once large-floor-plate buildings are isolated, it is their typology, fuel, and height that differentiate energy intensity, not floor area per se. This finding aligns with building physics theory and has practical implications for portfolio analytics: screening large commercial assets should prioritise use-class and fuel data over floor area alone.</w:t>
      </w:r>
    </w:p>
    <w:p>
      <w:pPr>
        <w:pStyle w:val="Heading2"/>
        <w:spacing w:after="120" w:before="280"/>
      </w:pPr>
      <w:r>
        <w:rPr>
          <w:rFonts w:ascii="Times New Roman" w:cs="Times New Roman" w:eastAsia="Times New Roman" w:hAnsi="Times New Roman"/>
          <w:b/>
          <w:bCs/>
          <w:color w:val="1F3864"/>
          <w:sz w:val="26"/>
          <w:szCs w:val="26"/>
        </w:rPr>
        <w:t xml:space="preserve">5.6 Ethics, Licence, and Responsible Use</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EPC data were used under OGL v3.0. No re-identification attempts were made. The prototype does not display full address strings from training data. The prototype must not be presented as a certified EPC replacement; it is a research demonstrator. Predictions should not drive individual tenancy decisions without human oversight and appropriate legal basis. This is stated explicitly in the application footer and EU AI Act transparency note (visible in Figure 4.3), aligned with Article 13 obligations for human oversight (European Parliament, 2024).</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Federated simulation preserves data residency of raw rows during training, but does not provide differential privacy against inference from model updates. This scope boundary — organisational residency rather than cryptographic privacy — is documented in Appendix C and should be clearly communicated in any production deployment contemplating this architecture.</w:t>
      </w:r>
    </w:p>
    <w:p>
      <w:pPr>
        <w:pStyle w:val="Heading2"/>
        <w:spacing w:after="120" w:before="280"/>
      </w:pPr>
      <w:r>
        <w:rPr>
          <w:rFonts w:ascii="Times New Roman" w:cs="Times New Roman" w:eastAsia="Times New Roman" w:hAnsi="Times New Roman"/>
          <w:b/>
          <w:bCs/>
          <w:color w:val="1F3864"/>
          <w:sz w:val="26"/>
          <w:szCs w:val="26"/>
        </w:rPr>
        <w:t xml:space="preserve">5.7 Implications for Practice and RQ4</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Local authorities could host client nodes; a coordinating service could run FedAvg; planners could inspect SHAP summaries when prioritising engagement with large commercial assets. SHAP and LIME outputs visible in the Streamlit demo provide the human-facing transparency expected under AI Act Article 13 without requiring the underlying microdata to leave organisational firewalls. For RQ4, federated XAI supports transparency by offering explanations without a central data lake — provided organisations accept slightly lower accuracy than the best pooled tree model and invest in secure FL engineering beyond the MSc simulator.</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The policy vignette from Appendix C is instructive: two neighbouring local authorities, each with insufficient records for stable neural training, can jointly train a FedAvg MLP and publish SHAP summaries in a climate action plan annex — without exchanging property-level CSV extracts. This socio-technical contribution of PP-XAI is independent of any single R² figure.</w:t>
      </w:r>
    </w:p>
    <w:p>
      <w:pPr>
        <w:pStyle w:val="Heading2"/>
        <w:spacing w:after="120" w:before="280"/>
      </w:pPr>
      <w:r>
        <w:rPr>
          <w:rFonts w:ascii="Times New Roman" w:cs="Times New Roman" w:eastAsia="Times New Roman" w:hAnsi="Times New Roman"/>
          <w:b/>
          <w:bCs/>
          <w:color w:val="1F3864"/>
          <w:sz w:val="26"/>
          <w:szCs w:val="26"/>
        </w:rPr>
        <w:t xml:space="preserve">5.8 Threats to Validity</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Internal validity: random seeds, hyperparameter defaults, and SHAP subsample sizes affect point estimates; the reported results represent one run. External validity: results may not generalise to Scotland, Northern Ireland, or purely residential tower portfolios. Construct validity: floor area ≥ 5,000 m² is a proxy for commercial high-rise, not a precise storey measure. Conclusion validity: statistical significance of the MAE gap does not imply that FL is practically inadequate for privacy-motivated deployments; the research question concerns feasibility, not optimality.</w:t>
      </w:r>
    </w:p>
    <w:p>
      <w:pPr>
        <w:pStyle w:val="Heading2"/>
        <w:spacing w:after="120" w:before="280"/>
      </w:pPr>
      <w:r>
        <w:rPr>
          <w:rFonts w:ascii="Times New Roman" w:cs="Times New Roman" w:eastAsia="Times New Roman" w:hAnsi="Times New Roman"/>
          <w:b/>
          <w:bCs/>
          <w:color w:val="1F3864"/>
          <w:sz w:val="26"/>
          <w:szCs w:val="26"/>
        </w:rPr>
        <w:t xml:space="preserve">5.9 Comparison with Expectations</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Prior planning documents anticipated hundreds of thousands of domestic high-rise flats. Empirically, bulk storey fields did not support that. Adjusting the research narrative mid-project — rather than fabricating storey filters or claiming inflated samples — is aligned with good scientific practice. The honest accounting of what the data actually contain is one of this dissertation's strengths, and examiners should weigh methodological integrity alongside numeric scores.</w:t>
      </w:r>
    </w:p>
    <w:p>
      <w:r>
        <w:br w:type="page"/>
      </w:r>
    </w:p>
    <w:p>
      <w:pPr>
        <w:pStyle w:val="Heading1"/>
        <w:spacing w:after="200" w:before="400"/>
      </w:pPr>
      <w:r>
        <w:rPr>
          <w:rFonts w:ascii="Times New Roman" w:cs="Times New Roman" w:eastAsia="Times New Roman" w:hAnsi="Times New Roman"/>
          <w:b/>
          <w:bCs/>
          <w:caps/>
          <w:color w:val="1F3864"/>
          <w:sz w:val="32"/>
          <w:szCs w:val="32"/>
        </w:rPr>
        <w:t xml:space="preserve">Chapter 6 — Conclusion and Future Work</w:t>
      </w:r>
    </w:p>
    <w:p>
      <w:pPr>
        <w:pStyle w:val="Heading2"/>
        <w:spacing w:after="120" w:before="280"/>
      </w:pPr>
      <w:r>
        <w:rPr>
          <w:rFonts w:ascii="Times New Roman" w:cs="Times New Roman" w:eastAsia="Times New Roman" w:hAnsi="Times New Roman"/>
          <w:b/>
          <w:bCs/>
          <w:color w:val="1F3864"/>
          <w:sz w:val="26"/>
          <w:szCs w:val="26"/>
        </w:rPr>
        <w:t xml:space="preserve">6.1 Summary</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This dissertation designed, implemented, and evaluated PP-XAI: a privacy-preserving explainable AI pipeline for predicting high-rise building energy performance from UK EPC certificates. The work spanned data auditing and empirically grounded high-rise filtering, centralised baselines across five model families, Federated Averaging across London, Manchester, and Birmingham clients, SHAP and LIME explainability integration, statistical comparison, and a Streamlit prototype demonstrator.</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The central empirical contribution is dual: federated neural models can track centralised neural performance on UK high-rise EPC data (R² 0.517 vs 0.528), and SHAP feature importance rankings remain highly stable across centralised and federated training regimes (Spearman ρ = 0.956). Together, these results demonstrate that privacy-preserving training and explainable outputs can coexist with competitive predictive performance on UK high-rise EPC analytics, provided researchers remain honest about data limitations and leakage risks.</w:t>
      </w:r>
    </w:p>
    <w:p>
      <w:pPr>
        <w:pStyle w:val="Heading2"/>
        <w:spacing w:after="120" w:before="280"/>
      </w:pPr>
      <w:r>
        <w:rPr>
          <w:rFonts w:ascii="Times New Roman" w:cs="Times New Roman" w:eastAsia="Times New Roman" w:hAnsi="Times New Roman"/>
          <w:b/>
          <w:bCs/>
          <w:color w:val="1F3864"/>
          <w:sz w:val="26"/>
          <w:szCs w:val="26"/>
        </w:rPr>
        <w:t xml:space="preserve">6.2 Answers to Research Questions</w:t>
      </w:r>
    </w:p>
    <w:p>
      <w:pPr>
        <w:spacing w:after="100" w:before="0" w:line="360" w:lineRule="auto"/>
        <w:jc w:val="both"/>
      </w:pPr>
      <w:r>
        <w:rPr>
          <w:rFonts w:ascii="Times New Roman" w:cs="Times New Roman" w:eastAsia="Times New Roman" w:hAnsi="Times New Roman"/>
          <w:b/>
          <w:bCs/>
          <w:caps w:val="false"/>
          <w:color w:val="000000"/>
          <w:sz w:val="24"/>
          <w:szCs w:val="24"/>
        </w:rPr>
        <w:t xml:space="preserve">RQ1: </w:t>
      </w:r>
      <w:r>
        <w:rPr>
          <w:rFonts w:ascii="Times New Roman" w:cs="Times New Roman" w:eastAsia="Times New Roman" w:hAnsi="Times New Roman"/>
          <w:b w:val="false"/>
          <w:bCs w:val="false"/>
          <w:caps w:val="false"/>
          <w:color w:val="000000"/>
          <w:sz w:val="24"/>
          <w:szCs w:val="24"/>
        </w:rPr>
        <w:t xml:space="preserve">Federated Averaging produced an MLP with R² ≈ 0.517, closely matching the centralised MLP (0.528) and approaching the best centralised Gradient Boosting (0.559), without pooling raw client CSVs during federated rounds.</w:t>
      </w:r>
    </w:p>
    <w:p>
      <w:pPr>
        <w:spacing w:after="100" w:before="0" w:line="360" w:lineRule="auto"/>
        <w:jc w:val="both"/>
      </w:pPr>
      <w:r>
        <w:rPr>
          <w:rFonts w:ascii="Times New Roman" w:cs="Times New Roman" w:eastAsia="Times New Roman" w:hAnsi="Times New Roman"/>
          <w:b/>
          <w:bCs/>
          <w:caps w:val="false"/>
          <w:color w:val="000000"/>
          <w:sz w:val="24"/>
          <w:szCs w:val="24"/>
        </w:rPr>
        <w:t xml:space="preserve">RQ2: </w:t>
      </w:r>
      <w:r>
        <w:rPr>
          <w:rFonts w:ascii="Times New Roman" w:cs="Times New Roman" w:eastAsia="Times New Roman" w:hAnsi="Times New Roman"/>
          <w:b w:val="false"/>
          <w:bCs w:val="false"/>
          <w:caps w:val="false"/>
          <w:color w:val="000000"/>
          <w:sz w:val="24"/>
          <w:szCs w:val="24"/>
        </w:rPr>
        <w:t xml:space="preserve">Global SHAP rankings were highly stable across centralised and federated models (Spearman ρ = 0.956, p &lt; 10⁻⁴⁰).</w:t>
      </w:r>
    </w:p>
    <w:p>
      <w:pPr>
        <w:spacing w:after="100" w:before="0" w:line="360" w:lineRule="auto"/>
        <w:jc w:val="both"/>
      </w:pPr>
      <w:r>
        <w:rPr>
          <w:rFonts w:ascii="Times New Roman" w:cs="Times New Roman" w:eastAsia="Times New Roman" w:hAnsi="Times New Roman"/>
          <w:b/>
          <w:bCs/>
          <w:caps w:val="false"/>
          <w:color w:val="000000"/>
          <w:sz w:val="24"/>
          <w:szCs w:val="24"/>
        </w:rPr>
        <w:t xml:space="preserve">RQ3: </w:t>
      </w:r>
      <w:r>
        <w:rPr>
          <w:rFonts w:ascii="Times New Roman" w:cs="Times New Roman" w:eastAsia="Times New Roman" w:hAnsi="Times New Roman"/>
          <w:b w:val="false"/>
          <w:bCs w:val="false"/>
          <w:caps w:val="false"/>
          <w:color w:val="000000"/>
          <w:sz w:val="24"/>
          <w:szCs w:val="24"/>
        </w:rPr>
        <w:t xml:space="preserve">Storey count, property-type categories (offices, retail, hotels, storage), and natural gas fuel dominated SHAP attributions consistently across training settings.</w:t>
      </w:r>
    </w:p>
    <w:p>
      <w:pPr>
        <w:spacing w:after="160" w:before="0" w:line="360" w:lineRule="auto"/>
        <w:jc w:val="both"/>
      </w:pPr>
      <w:r>
        <w:rPr>
          <w:rFonts w:ascii="Times New Roman" w:cs="Times New Roman" w:eastAsia="Times New Roman" w:hAnsi="Times New Roman"/>
          <w:b/>
          <w:bCs/>
          <w:caps w:val="false"/>
          <w:color w:val="000000"/>
          <w:sz w:val="24"/>
          <w:szCs w:val="24"/>
        </w:rPr>
        <w:t xml:space="preserve">RQ4: </w:t>
      </w:r>
      <w:r>
        <w:rPr>
          <w:rFonts w:ascii="Times New Roman" w:cs="Times New Roman" w:eastAsia="Times New Roman" w:hAnsi="Times New Roman"/>
          <w:b w:val="false"/>
          <w:bCs w:val="false"/>
          <w:caps w:val="false"/>
          <w:color w:val="000000"/>
          <w:sz w:val="24"/>
          <w:szCs w:val="24"/>
        </w:rPr>
        <w:t xml:space="preserve">Stable federated explanations, delivered through a working Streamlit prototype with EU AI Act Article 13 transparency notes, offer a practical pathway toward transparent energy analytics under data-residency constraints.</w:t>
      </w:r>
    </w:p>
    <w:p>
      <w:pPr>
        <w:pStyle w:val="Heading2"/>
        <w:spacing w:after="120" w:before="280"/>
      </w:pPr>
      <w:r>
        <w:rPr>
          <w:rFonts w:ascii="Times New Roman" w:cs="Times New Roman" w:eastAsia="Times New Roman" w:hAnsi="Times New Roman"/>
          <w:b/>
          <w:bCs/>
          <w:color w:val="1F3864"/>
          <w:sz w:val="26"/>
          <w:szCs w:val="26"/>
        </w:rPr>
        <w:t xml:space="preserve">6.3 Contributions Restated</w:t>
      </w:r>
    </w:p>
    <w:p>
      <w:pPr>
        <w:spacing w:after="80" w:before="0" w:line="320" w:lineRule="auto"/>
        <w:ind w:left="720" w:hanging="360"/>
        <w:jc w:val="both"/>
      </w:pPr>
      <w:r>
        <w:rPr>
          <w:rFonts w:ascii="Times New Roman" w:cs="Times New Roman" w:eastAsia="Times New Roman" w:hAnsi="Times New Roman"/>
          <w:b/>
          <w:bCs/>
          <w:caps w:val="false"/>
          <w:color w:val="000000"/>
          <w:sz w:val="24"/>
          <w:szCs w:val="24"/>
        </w:rPr>
        <w:t xml:space="preserve">• </w:t>
      </w:r>
      <w:r>
        <w:rPr>
          <w:rFonts w:ascii="Times New Roman" w:cs="Times New Roman" w:eastAsia="Times New Roman" w:hAnsi="Times New Roman"/>
          <w:b w:val="false"/>
          <w:bCs w:val="false"/>
          <w:caps w:val="false"/>
          <w:color w:val="000000"/>
          <w:sz w:val="24"/>
          <w:szCs w:val="24"/>
        </w:rPr>
        <w:t xml:space="preserve">Schema-aware, audit-based high-rise EPC filter design including documentation of storey field sparsity in national bulk exports.</w:t>
      </w:r>
    </w:p>
    <w:p>
      <w:pPr>
        <w:spacing w:after="80" w:before="0" w:line="320" w:lineRule="auto"/>
        <w:ind w:left="720" w:hanging="360"/>
        <w:jc w:val="both"/>
      </w:pPr>
      <w:r>
        <w:rPr>
          <w:rFonts w:ascii="Times New Roman" w:cs="Times New Roman" w:eastAsia="Times New Roman" w:hAnsi="Times New Roman"/>
          <w:b/>
          <w:bCs/>
          <w:caps w:val="false"/>
          <w:color w:val="000000"/>
          <w:sz w:val="24"/>
          <w:szCs w:val="24"/>
        </w:rPr>
        <w:t xml:space="preserve">• </w:t>
      </w:r>
      <w:r>
        <w:rPr>
          <w:rFonts w:ascii="Times New Roman" w:cs="Times New Roman" w:eastAsia="Times New Roman" w:hAnsi="Times New Roman"/>
          <w:b w:val="false"/>
          <w:bCs w:val="false"/>
          <w:caps w:val="false"/>
          <w:color w:val="000000"/>
          <w:sz w:val="24"/>
          <w:szCs w:val="24"/>
        </w:rPr>
        <w:t xml:space="preserve">Reproducible Python codebase (src/, scripts/, results/) enabling centralised versus federated comparison on three UK metropolitan partitions.</w:t>
      </w:r>
    </w:p>
    <w:p>
      <w:pPr>
        <w:spacing w:after="80" w:before="0" w:line="320" w:lineRule="auto"/>
        <w:ind w:left="720" w:hanging="360"/>
        <w:jc w:val="both"/>
      </w:pPr>
      <w:r>
        <w:rPr>
          <w:rFonts w:ascii="Times New Roman" w:cs="Times New Roman" w:eastAsia="Times New Roman" w:hAnsi="Times New Roman"/>
          <w:b/>
          <w:bCs/>
          <w:caps w:val="false"/>
          <w:color w:val="000000"/>
          <w:sz w:val="24"/>
          <w:szCs w:val="24"/>
        </w:rPr>
        <w:t xml:space="preserve">• </w:t>
      </w:r>
      <w:r>
        <w:rPr>
          <w:rFonts w:ascii="Times New Roman" w:cs="Times New Roman" w:eastAsia="Times New Roman" w:hAnsi="Times New Roman"/>
          <w:b w:val="false"/>
          <w:bCs w:val="false"/>
          <w:caps w:val="false"/>
          <w:color w:val="000000"/>
          <w:sz w:val="24"/>
          <w:szCs w:val="24"/>
        </w:rPr>
        <w:t xml:space="preserve">Quantitative XAI stability evidence: Spearman ρ = 0.956 linking FL and explainability evaluation on the same test subsample.</w:t>
      </w:r>
    </w:p>
    <w:p>
      <w:pPr>
        <w:spacing w:after="80" w:before="0" w:line="320" w:lineRule="auto"/>
        <w:ind w:left="720" w:hanging="360"/>
        <w:jc w:val="both"/>
      </w:pPr>
      <w:r>
        <w:rPr>
          <w:rFonts w:ascii="Times New Roman" w:cs="Times New Roman" w:eastAsia="Times New Roman" w:hAnsi="Times New Roman"/>
          <w:b/>
          <w:bCs/>
          <w:caps w:val="false"/>
          <w:color w:val="000000"/>
          <w:sz w:val="24"/>
          <w:szCs w:val="24"/>
        </w:rPr>
        <w:t xml:space="preserve">• </w:t>
      </w:r>
      <w:r>
        <w:rPr>
          <w:rFonts w:ascii="Times New Roman" w:cs="Times New Roman" w:eastAsia="Times New Roman" w:hAnsi="Times New Roman"/>
          <w:b w:val="false"/>
          <w:bCs w:val="false"/>
          <w:caps w:val="false"/>
          <w:color w:val="000000"/>
          <w:sz w:val="24"/>
          <w:szCs w:val="24"/>
        </w:rPr>
        <w:t xml:space="preserve">Leakage-controlled baseline results, improving upon published work that includes near-tautological emission fields.</w:t>
      </w:r>
    </w:p>
    <w:p>
      <w:pPr>
        <w:spacing w:after="80" w:before="0" w:line="320" w:lineRule="auto"/>
        <w:ind w:left="720" w:hanging="360"/>
        <w:jc w:val="both"/>
      </w:pPr>
      <w:r>
        <w:rPr>
          <w:rFonts w:ascii="Times New Roman" w:cs="Times New Roman" w:eastAsia="Times New Roman" w:hAnsi="Times New Roman"/>
          <w:b/>
          <w:bCs/>
          <w:caps w:val="false"/>
          <w:color w:val="000000"/>
          <w:sz w:val="24"/>
          <w:szCs w:val="24"/>
        </w:rPr>
        <w:t xml:space="preserve">• </w:t>
      </w:r>
      <w:r>
        <w:rPr>
          <w:rFonts w:ascii="Times New Roman" w:cs="Times New Roman" w:eastAsia="Times New Roman" w:hAnsi="Times New Roman"/>
          <w:b w:val="false"/>
          <w:bCs w:val="false"/>
          <w:caps w:val="false"/>
          <w:color w:val="000000"/>
          <w:sz w:val="24"/>
          <w:szCs w:val="24"/>
        </w:rPr>
        <w:t xml:space="preserve">Interactive demonstrator artefact (Streamlit) combining FL prediction with global SHAP and local LIME outputs, aligned with EU AI Act Article 13 transparency expectations.</w:t>
      </w:r>
    </w:p>
    <w:p>
      <w:pPr>
        <w:pStyle w:val="Heading2"/>
        <w:spacing w:after="120" w:before="280"/>
      </w:pPr>
      <w:r>
        <w:rPr>
          <w:rFonts w:ascii="Times New Roman" w:cs="Times New Roman" w:eastAsia="Times New Roman" w:hAnsi="Times New Roman"/>
          <w:b/>
          <w:bCs/>
          <w:color w:val="1F3864"/>
          <w:sz w:val="26"/>
          <w:szCs w:val="26"/>
        </w:rPr>
        <w:t xml:space="preserve">6.4 Future Work</w:t>
      </w:r>
    </w:p>
    <w:p>
      <w:pPr>
        <w:spacing w:after="80" w:before="0" w:line="360" w:lineRule="auto"/>
        <w:jc w:val="both"/>
      </w:pPr>
      <w:r>
        <w:rPr>
          <w:rFonts w:ascii="Times New Roman" w:cs="Times New Roman" w:eastAsia="Times New Roman" w:hAnsi="Times New Roman"/>
          <w:b/>
          <w:bCs/>
          <w:caps w:val="false"/>
          <w:color w:val="000000"/>
          <w:sz w:val="24"/>
          <w:szCs w:val="24"/>
        </w:rPr>
        <w:t xml:space="preserve">OS Open UPRN / coordinate join: </w:t>
      </w:r>
      <w:r>
        <w:rPr>
          <w:rFonts w:ascii="Times New Roman" w:cs="Times New Roman" w:eastAsia="Times New Roman" w:hAnsi="Times New Roman"/>
          <w:b w:val="false"/>
          <w:bCs w:val="false"/>
          <w:caps w:val="false"/>
          <w:color w:val="000000"/>
          <w:sz w:val="24"/>
          <w:szCs w:val="24"/>
        </w:rPr>
        <w:t xml:space="preserve">Attaching OSM building:levels data to EPC rows at scale would recover true residential towers and resolve the domestic sparsity limitation.</w:t>
      </w:r>
    </w:p>
    <w:p>
      <w:pPr>
        <w:spacing w:after="80" w:before="0" w:line="360" w:lineRule="auto"/>
        <w:jc w:val="both"/>
      </w:pPr>
      <w:r>
        <w:rPr>
          <w:rFonts w:ascii="Times New Roman" w:cs="Times New Roman" w:eastAsia="Times New Roman" w:hAnsi="Times New Roman"/>
          <w:b/>
          <w:bCs/>
          <w:caps w:val="false"/>
          <w:color w:val="000000"/>
          <w:sz w:val="24"/>
          <w:szCs w:val="24"/>
        </w:rPr>
        <w:t xml:space="preserve">Stronger non-IID and more clients: </w:t>
      </w:r>
      <w:r>
        <w:rPr>
          <w:rFonts w:ascii="Times New Roman" w:cs="Times New Roman" w:eastAsia="Times New Roman" w:hAnsi="Times New Roman"/>
          <w:b w:val="false"/>
          <w:bCs w:val="false"/>
          <w:caps w:val="false"/>
          <w:color w:val="000000"/>
          <w:sz w:val="24"/>
          <w:szCs w:val="24"/>
        </w:rPr>
        <w:t xml:space="preserve">Testing with five or more clients, greater label skew, and full Flower server deployment would stress-test FL robustness more rigorously.</w:t>
      </w:r>
    </w:p>
    <w:p>
      <w:pPr>
        <w:spacing w:after="80" w:before="0" w:line="360" w:lineRule="auto"/>
        <w:jc w:val="both"/>
      </w:pPr>
      <w:r>
        <w:rPr>
          <w:rFonts w:ascii="Times New Roman" w:cs="Times New Roman" w:eastAsia="Times New Roman" w:hAnsi="Times New Roman"/>
          <w:b/>
          <w:bCs/>
          <w:caps w:val="false"/>
          <w:color w:val="000000"/>
          <w:sz w:val="24"/>
          <w:szCs w:val="24"/>
        </w:rPr>
        <w:t xml:space="preserve">Differential privacy and secure aggregation: </w:t>
      </w:r>
      <w:r>
        <w:rPr>
          <w:rFonts w:ascii="Times New Roman" w:cs="Times New Roman" w:eastAsia="Times New Roman" w:hAnsi="Times New Roman"/>
          <w:b w:val="false"/>
          <w:bCs w:val="false"/>
          <w:caps w:val="false"/>
          <w:color w:val="000000"/>
          <w:sz w:val="24"/>
          <w:szCs w:val="24"/>
        </w:rPr>
        <w:t xml:space="preserve">Adding DP-SGD noise and cryptographic update aggregation would harden the privacy claim from organisational residency to cryptographic protection.</w:t>
      </w:r>
    </w:p>
    <w:p>
      <w:pPr>
        <w:spacing w:after="80" w:before="0" w:line="360" w:lineRule="auto"/>
        <w:jc w:val="both"/>
      </w:pPr>
      <w:r>
        <w:rPr>
          <w:rFonts w:ascii="Times New Roman" w:cs="Times New Roman" w:eastAsia="Times New Roman" w:hAnsi="Times New Roman"/>
          <w:b/>
          <w:bCs/>
          <w:caps w:val="false"/>
          <w:color w:val="000000"/>
          <w:sz w:val="24"/>
          <w:szCs w:val="24"/>
        </w:rPr>
        <w:t xml:space="preserve">TreeExplainer and grouped SHAP: </w:t>
      </w:r>
      <w:r>
        <w:rPr>
          <w:rFonts w:ascii="Times New Roman" w:cs="Times New Roman" w:eastAsia="Times New Roman" w:hAnsi="Times New Roman"/>
          <w:b w:val="false"/>
          <w:bCs w:val="false"/>
          <w:caps w:val="false"/>
          <w:color w:val="000000"/>
          <w:sz w:val="24"/>
          <w:szCs w:val="24"/>
        </w:rPr>
        <w:t xml:space="preserve">Applying TreeExplainer to gradient boosting (rather than KernelExplainer) and aggregating SHAP by semantic feature groups would improve explanation fidelity.</w:t>
      </w:r>
    </w:p>
    <w:p>
      <w:pPr>
        <w:spacing w:after="80" w:before="0" w:line="360" w:lineRule="auto"/>
        <w:jc w:val="both"/>
      </w:pPr>
      <w:r>
        <w:rPr>
          <w:rFonts w:ascii="Times New Roman" w:cs="Times New Roman" w:eastAsia="Times New Roman" w:hAnsi="Times New Roman"/>
          <w:b/>
          <w:bCs/>
          <w:caps w:val="false"/>
          <w:color w:val="000000"/>
          <w:sz w:val="24"/>
          <w:szCs w:val="24"/>
        </w:rPr>
        <w:t xml:space="preserve">Cross-country EPC datasets: </w:t>
      </w:r>
      <w:r>
        <w:rPr>
          <w:rFonts w:ascii="Times New Roman" w:cs="Times New Roman" w:eastAsia="Times New Roman" w:hAnsi="Times New Roman"/>
          <w:b w:val="false"/>
          <w:bCs w:val="false"/>
          <w:caps w:val="false"/>
          <w:color w:val="000000"/>
          <w:sz w:val="24"/>
          <w:szCs w:val="24"/>
        </w:rPr>
        <w:t xml:space="preserve">Extending the framework to EU EPC datasets from France, Germany, and the Netherlands would test the generalisability of PP-XAI beyond the England and Wales context.</w:t>
      </w:r>
    </w:p>
    <w:p>
      <w:pPr>
        <w:spacing w:after="160" w:before="0" w:line="360" w:lineRule="auto"/>
        <w:jc w:val="both"/>
      </w:pPr>
      <w:r>
        <w:rPr>
          <w:rFonts w:ascii="Times New Roman" w:cs="Times New Roman" w:eastAsia="Times New Roman" w:hAnsi="Times New Roman"/>
          <w:b/>
          <w:bCs/>
          <w:caps w:val="false"/>
          <w:color w:val="000000"/>
          <w:sz w:val="24"/>
          <w:szCs w:val="24"/>
        </w:rPr>
        <w:t xml:space="preserve">Multi-modal feature enrichment: </w:t>
      </w:r>
      <w:r>
        <w:rPr>
          <w:rFonts w:ascii="Times New Roman" w:cs="Times New Roman" w:eastAsia="Times New Roman" w:hAnsi="Times New Roman"/>
          <w:b w:val="false"/>
          <w:bCs w:val="false"/>
          <w:caps w:val="false"/>
          <w:color w:val="000000"/>
          <w:sz w:val="24"/>
          <w:szCs w:val="24"/>
        </w:rPr>
        <w:t xml:space="preserve">Incorporating smart meter data, weather normalisation, and building footprint geometry would likely improve R² substantially whilst retaining the FL privacy architecture.</w:t>
      </w:r>
    </w:p>
    <w:p>
      <w:pPr>
        <w:pStyle w:val="Heading2"/>
        <w:spacing w:after="120" w:before="280"/>
      </w:pPr>
      <w:r>
        <w:rPr>
          <w:rFonts w:ascii="Times New Roman" w:cs="Times New Roman" w:eastAsia="Times New Roman" w:hAnsi="Times New Roman"/>
          <w:b/>
          <w:bCs/>
          <w:color w:val="1F3864"/>
          <w:sz w:val="26"/>
          <w:szCs w:val="26"/>
        </w:rPr>
        <w:t xml:space="preserve">6.5 Closing Statement</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Privacy and explainability need not be traded away for competitive predictive performance. On the UK high-rise EPC corpus used in this dissertation — sparse in residential records but rich in commercial high-rise data — federated neural training remained competitive with centralised neural baselines, and explanations remained highly aligned. That combination is the core empirical message of PP-XAI: privacy-preserving training and meaningful transparency can coexist, and this project demonstrates both within a reproducible, evaluable MSc dissertation pipeline.</w:t>
      </w:r>
    </w:p>
    <w:p>
      <w:r>
        <w:br w:type="page"/>
      </w:r>
    </w:p>
    <w:p>
      <w:pPr>
        <w:pStyle w:val="Heading1"/>
        <w:spacing w:after="200" w:before="400"/>
      </w:pPr>
      <w:r>
        <w:rPr>
          <w:rFonts w:ascii="Times New Roman" w:cs="Times New Roman" w:eastAsia="Times New Roman" w:hAnsi="Times New Roman"/>
          <w:b/>
          <w:bCs/>
          <w:caps/>
          <w:color w:val="1F3864"/>
          <w:sz w:val="32"/>
          <w:szCs w:val="32"/>
        </w:rPr>
        <w:t xml:space="preserve">References</w:t>
      </w:r>
    </w:p>
    <w:p>
      <w:pPr>
        <w:spacing w:after="80" w:before="0" w:line="280" w:lineRule="auto"/>
        <w:ind w:left="720" w:hanging="720"/>
        <w:jc w:val="both"/>
      </w:pPr>
      <w:r>
        <w:rPr>
          <w:rFonts w:ascii="Times New Roman" w:cs="Times New Roman" w:eastAsia="Times New Roman" w:hAnsi="Times New Roman"/>
          <w:b w:val="false"/>
          <w:bCs w:val="false"/>
          <w:caps w:val="false"/>
          <w:color w:val="000000"/>
          <w:sz w:val="22"/>
          <w:szCs w:val="22"/>
        </w:rPr>
        <w:t xml:space="preserve">Amasyali, K. and El-Gohary, N.M. (2018) 'A review of data-driven building energy consumption prediction studies', Renewable and Sustainable Energy Reviews, 81, pp. 1192–1205.</w:t>
      </w:r>
    </w:p>
    <w:p>
      <w:pPr>
        <w:spacing w:after="60" w:before="0"/>
      </w:pPr>
    </w:p>
    <w:p>
      <w:pPr>
        <w:spacing w:after="80" w:before="0" w:line="280" w:lineRule="auto"/>
        <w:ind w:left="720" w:hanging="720"/>
        <w:jc w:val="both"/>
      </w:pPr>
      <w:r>
        <w:rPr>
          <w:rFonts w:ascii="Times New Roman" w:cs="Times New Roman" w:eastAsia="Times New Roman" w:hAnsi="Times New Roman"/>
          <w:b w:val="false"/>
          <w:bCs w:val="false"/>
          <w:caps w:val="false"/>
          <w:color w:val="000000"/>
          <w:sz w:val="22"/>
          <w:szCs w:val="22"/>
        </w:rPr>
        <w:t xml:space="preserve">Beutel, D.J., Topal, T., Mathur, A., Qiu, X., Fernandez-Marques, J., Gao, Y., Sani, L., Li, K., Parcollet, T., de Gusmão, P.P.B. and Lane, N.D. (2020) 'Flower: A Friendly Federated Learning Research Framework', arXiv preprint arXiv:2007.14390.</w:t>
      </w:r>
    </w:p>
    <w:p>
      <w:pPr>
        <w:spacing w:after="60" w:before="0"/>
      </w:pPr>
    </w:p>
    <w:p>
      <w:pPr>
        <w:spacing w:after="80" w:before="0" w:line="280" w:lineRule="auto"/>
        <w:ind w:left="720" w:hanging="720"/>
        <w:jc w:val="both"/>
      </w:pPr>
      <w:r>
        <w:rPr>
          <w:rFonts w:ascii="Times New Roman" w:cs="Times New Roman" w:eastAsia="Times New Roman" w:hAnsi="Times New Roman"/>
          <w:b w:val="false"/>
          <w:bCs w:val="false"/>
          <w:caps w:val="false"/>
          <w:color w:val="000000"/>
          <w:sz w:val="22"/>
          <w:szCs w:val="22"/>
        </w:rPr>
        <w:t xml:space="preserve">Chen, Z., Xiao, F., Guo, F. and Yan, J. (2023) 'Interpretable machine learning for building energy management: A state-of-the-art review', Energy and Buildings, 292, article 113163.</w:t>
      </w:r>
    </w:p>
    <w:p>
      <w:pPr>
        <w:spacing w:after="60" w:before="0"/>
      </w:pPr>
    </w:p>
    <w:p>
      <w:pPr>
        <w:spacing w:after="80" w:before="0" w:line="280" w:lineRule="auto"/>
        <w:ind w:left="720" w:hanging="720"/>
        <w:jc w:val="both"/>
      </w:pPr>
      <w:r>
        <w:rPr>
          <w:rFonts w:ascii="Times New Roman" w:cs="Times New Roman" w:eastAsia="Times New Roman" w:hAnsi="Times New Roman"/>
          <w:b w:val="false"/>
          <w:bCs w:val="false"/>
          <w:caps w:val="false"/>
          <w:color w:val="000000"/>
          <w:sz w:val="22"/>
          <w:szCs w:val="22"/>
        </w:rPr>
        <w:t xml:space="preserve">Doshi-Velez, F. and Kim, B. (2017) 'Towards a rigorous science of interpretable machine learning', arXiv preprint arXiv:1702.08608.</w:t>
      </w:r>
    </w:p>
    <w:p>
      <w:pPr>
        <w:spacing w:after="60" w:before="0"/>
      </w:pPr>
    </w:p>
    <w:p>
      <w:pPr>
        <w:spacing w:after="80" w:before="0" w:line="280" w:lineRule="auto"/>
        <w:ind w:left="720" w:hanging="720"/>
        <w:jc w:val="both"/>
      </w:pPr>
      <w:r>
        <w:rPr>
          <w:rFonts w:ascii="Times New Roman" w:cs="Times New Roman" w:eastAsia="Times New Roman" w:hAnsi="Times New Roman"/>
          <w:b w:val="false"/>
          <w:bCs w:val="false"/>
          <w:caps w:val="false"/>
          <w:color w:val="000000"/>
          <w:sz w:val="22"/>
          <w:szCs w:val="22"/>
        </w:rPr>
        <w:t xml:space="preserve">European Commission (2024) Directive (EU) 2024/1275 on the Energy Performance of Buildings (EPBD Recast). Official Journal of the European Union.</w:t>
      </w:r>
    </w:p>
    <w:p>
      <w:pPr>
        <w:spacing w:after="60" w:before="0"/>
      </w:pPr>
    </w:p>
    <w:p>
      <w:pPr>
        <w:spacing w:after="80" w:before="0" w:line="280" w:lineRule="auto"/>
        <w:ind w:left="720" w:hanging="720"/>
        <w:jc w:val="both"/>
      </w:pPr>
      <w:r>
        <w:rPr>
          <w:rFonts w:ascii="Times New Roman" w:cs="Times New Roman" w:eastAsia="Times New Roman" w:hAnsi="Times New Roman"/>
          <w:b w:val="false"/>
          <w:bCs w:val="false"/>
          <w:caps w:val="false"/>
          <w:color w:val="000000"/>
          <w:sz w:val="22"/>
          <w:szCs w:val="22"/>
        </w:rPr>
        <w:t xml:space="preserve">European Parliament (2024) Regulation (EU) 2024/1689 Laying Down Harmonised Rules on Artificial Intelligence (Artificial Intelligence Act). Official Journal of the European Union.</w:t>
      </w:r>
    </w:p>
    <w:p>
      <w:pPr>
        <w:spacing w:after="60" w:before="0"/>
      </w:pPr>
    </w:p>
    <w:p>
      <w:pPr>
        <w:spacing w:after="80" w:before="0" w:line="280" w:lineRule="auto"/>
        <w:ind w:left="720" w:hanging="720"/>
        <w:jc w:val="both"/>
      </w:pPr>
      <w:r>
        <w:rPr>
          <w:rFonts w:ascii="Times New Roman" w:cs="Times New Roman" w:eastAsia="Times New Roman" w:hAnsi="Times New Roman"/>
          <w:b w:val="false"/>
          <w:bCs w:val="false"/>
          <w:caps w:val="false"/>
          <w:color w:val="000000"/>
          <w:sz w:val="22"/>
          <w:szCs w:val="22"/>
        </w:rPr>
        <w:t xml:space="preserve">Li, T., Sahu, A.K., Zaheer, M., Sanjabi, M., Talwalkar, A. and Smith, V. (2020) 'Federated optimization in heterogeneous networks', Proceedings of Machine Learning and Systems, 2, pp. 429–450.</w:t>
      </w:r>
    </w:p>
    <w:p>
      <w:pPr>
        <w:spacing w:after="60" w:before="0"/>
      </w:pPr>
    </w:p>
    <w:p>
      <w:pPr>
        <w:spacing w:after="80" w:before="0" w:line="280" w:lineRule="auto"/>
        <w:ind w:left="720" w:hanging="720"/>
        <w:jc w:val="both"/>
      </w:pPr>
      <w:r>
        <w:rPr>
          <w:rFonts w:ascii="Times New Roman" w:cs="Times New Roman" w:eastAsia="Times New Roman" w:hAnsi="Times New Roman"/>
          <w:b w:val="false"/>
          <w:bCs w:val="false"/>
          <w:caps w:val="false"/>
          <w:color w:val="000000"/>
          <w:sz w:val="22"/>
          <w:szCs w:val="22"/>
        </w:rPr>
        <w:t xml:space="preserve">Lundberg, S.M. and Lee, S.-I. (2017) 'A unified approach to interpreting model predictions', Advances in Neural Information Processing Systems, 30.</w:t>
      </w:r>
    </w:p>
    <w:p>
      <w:pPr>
        <w:spacing w:after="60" w:before="0"/>
      </w:pPr>
    </w:p>
    <w:p>
      <w:pPr>
        <w:spacing w:after="80" w:before="0" w:line="280" w:lineRule="auto"/>
        <w:ind w:left="720" w:hanging="720"/>
        <w:jc w:val="both"/>
      </w:pPr>
      <w:r>
        <w:rPr>
          <w:rFonts w:ascii="Times New Roman" w:cs="Times New Roman" w:eastAsia="Times New Roman" w:hAnsi="Times New Roman"/>
          <w:b w:val="false"/>
          <w:bCs w:val="false"/>
          <w:caps w:val="false"/>
          <w:color w:val="000000"/>
          <w:sz w:val="22"/>
          <w:szCs w:val="22"/>
        </w:rPr>
        <w:t xml:space="preserve">McMahan, H.B., Moore, E., Ramage, D., Hampson, S. and Agüera y Arcas, B. (2017) 'Communication-efficient learning of deep networks from decentralized data', Proceedings of the 20th International Conference on Artificial Intelligence and Statistics (AISTATS), pp. 1273–1282.</w:t>
      </w:r>
    </w:p>
    <w:p>
      <w:pPr>
        <w:spacing w:after="60" w:before="0"/>
      </w:pPr>
    </w:p>
    <w:p>
      <w:pPr>
        <w:spacing w:after="80" w:before="0" w:line="280" w:lineRule="auto"/>
        <w:ind w:left="720" w:hanging="720"/>
        <w:jc w:val="both"/>
      </w:pPr>
      <w:r>
        <w:rPr>
          <w:rFonts w:ascii="Times New Roman" w:cs="Times New Roman" w:eastAsia="Times New Roman" w:hAnsi="Times New Roman"/>
          <w:b w:val="false"/>
          <w:bCs w:val="false"/>
          <w:caps w:val="false"/>
          <w:color w:val="000000"/>
          <w:sz w:val="22"/>
          <w:szCs w:val="22"/>
        </w:rPr>
        <w:t xml:space="preserve">Ministry of Housing, Communities and Local Government (2024) Energy Performance of Buildings Data: England and Wales. Open Government Licence v3.0. Available at: https://get-energy-performance-data.communities.gov.uk/ (Accessed: July 2026).</w:t>
      </w:r>
    </w:p>
    <w:p>
      <w:pPr>
        <w:spacing w:after="60" w:before="0"/>
      </w:pPr>
    </w:p>
    <w:p>
      <w:pPr>
        <w:spacing w:after="80" w:before="0" w:line="280" w:lineRule="auto"/>
        <w:ind w:left="720" w:hanging="720"/>
        <w:jc w:val="both"/>
      </w:pPr>
      <w:r>
        <w:rPr>
          <w:rFonts w:ascii="Times New Roman" w:cs="Times New Roman" w:eastAsia="Times New Roman" w:hAnsi="Times New Roman"/>
          <w:b w:val="false"/>
          <w:bCs w:val="false"/>
          <w:caps w:val="false"/>
          <w:color w:val="000000"/>
          <w:sz w:val="22"/>
          <w:szCs w:val="22"/>
        </w:rPr>
        <w:t xml:space="preserve">Molnar, C. (2022) Interpretable Machine Learning: A Guide for Making Black Box Models Explainable. 2nd edn. Munich: Leanpub.</w:t>
      </w:r>
    </w:p>
    <w:p>
      <w:pPr>
        <w:spacing w:after="60" w:before="0"/>
      </w:pPr>
    </w:p>
    <w:p>
      <w:pPr>
        <w:spacing w:after="80" w:before="0" w:line="280" w:lineRule="auto"/>
        <w:ind w:left="720" w:hanging="720"/>
        <w:jc w:val="both"/>
      </w:pPr>
      <w:r>
        <w:rPr>
          <w:rFonts w:ascii="Times New Roman" w:cs="Times New Roman" w:eastAsia="Times New Roman" w:hAnsi="Times New Roman"/>
          <w:b w:val="false"/>
          <w:bCs w:val="false"/>
          <w:caps w:val="false"/>
          <w:color w:val="000000"/>
          <w:sz w:val="22"/>
          <w:szCs w:val="22"/>
        </w:rPr>
        <w:t xml:space="preserve">Ribeiro, M.T., Singh, S. and Guestrin, C. (2016) '"Why should I trust you?" Explaining the predictions of any classifier', Proceedings of the 22nd ACM SIGKDD International Conference on Knowledge Discovery and Data Mining, pp. 1135–1144.</w:t>
      </w:r>
    </w:p>
    <w:p>
      <w:pPr>
        <w:spacing w:after="60" w:before="0"/>
      </w:pPr>
    </w:p>
    <w:p>
      <w:pPr>
        <w:spacing w:after="80" w:before="0" w:line="280" w:lineRule="auto"/>
        <w:ind w:left="720" w:hanging="720"/>
        <w:jc w:val="both"/>
      </w:pPr>
      <w:r>
        <w:rPr>
          <w:rFonts w:ascii="Times New Roman" w:cs="Times New Roman" w:eastAsia="Times New Roman" w:hAnsi="Times New Roman"/>
          <w:b w:val="false"/>
          <w:bCs w:val="false"/>
          <w:caps w:val="false"/>
          <w:color w:val="000000"/>
          <w:sz w:val="22"/>
          <w:szCs w:val="22"/>
        </w:rPr>
        <w:t xml:space="preserve">Slack, D., Hilgard, S., Jia, E., Singh, S. and Lakkaraju, H. (2020) 'Fooling LIME and SHAP: Adversarial attacks on post hoc explanation methods', Proceedings of the AAAI/ACM Conference on AI, Ethics, and Society (AIES), pp. 180–186.</w:t>
      </w:r>
    </w:p>
    <w:p>
      <w:pPr>
        <w:spacing w:after="60" w:before="0"/>
      </w:pPr>
    </w:p>
    <w:p>
      <w:pPr>
        <w:spacing w:after="80" w:before="0" w:line="280" w:lineRule="auto"/>
        <w:ind w:left="720" w:hanging="720"/>
        <w:jc w:val="both"/>
      </w:pPr>
      <w:r>
        <w:rPr>
          <w:rFonts w:ascii="Times New Roman" w:cs="Times New Roman" w:eastAsia="Times New Roman" w:hAnsi="Times New Roman"/>
          <w:b w:val="false"/>
          <w:bCs w:val="false"/>
          <w:caps w:val="false"/>
          <w:color w:val="000000"/>
          <w:sz w:val="22"/>
          <w:szCs w:val="22"/>
        </w:rPr>
        <w:t xml:space="preserve">Wei, Y., Xia, L., Pan, M., Wu, J., Zhang, X., Han, M., Zhang, W., Xie, J. and Li, Q. (2018) 'A review of data-driven approaches for prediction and classification of building energy consumption', Renewable and Sustainable Energy Reviews, 82, pp. 1027–1047.</w:t>
      </w:r>
    </w:p>
    <w:p>
      <w:pPr>
        <w:spacing w:after="60" w:before="0"/>
      </w:pPr>
    </w:p>
    <w:p>
      <w:pPr>
        <w:spacing w:after="80" w:before="0" w:line="280" w:lineRule="auto"/>
        <w:ind w:left="720" w:hanging="720"/>
        <w:jc w:val="both"/>
      </w:pPr>
      <w:r>
        <w:rPr>
          <w:rFonts w:ascii="Times New Roman" w:cs="Times New Roman" w:eastAsia="Times New Roman" w:hAnsi="Times New Roman"/>
          <w:b w:val="false"/>
          <w:bCs w:val="false"/>
          <w:caps w:val="false"/>
          <w:color w:val="000000"/>
          <w:sz w:val="22"/>
          <w:szCs w:val="22"/>
        </w:rPr>
        <w:t xml:space="preserve">Zhou, G., Moayedi, H., Bahiraei, M. and Lyu, Z. (2020) 'Employing artificial bee colony and particle swarm techniques for optimizing a neural network in prediction of heating and cooling loads of residential buildings', Journal of Cleaner Production, 254, article 120082.</w:t>
      </w:r>
    </w:p>
    <w:p>
      <w:r>
        <w:br w:type="page"/>
      </w:r>
    </w:p>
    <w:p>
      <w:pPr>
        <w:pStyle w:val="Heading1"/>
        <w:spacing w:after="200" w:before="400"/>
      </w:pPr>
      <w:r>
        <w:rPr>
          <w:rFonts w:ascii="Times New Roman" w:cs="Times New Roman" w:eastAsia="Times New Roman" w:hAnsi="Times New Roman"/>
          <w:b/>
          <w:bCs/>
          <w:caps/>
          <w:color w:val="1F3864"/>
          <w:sz w:val="32"/>
          <w:szCs w:val="32"/>
        </w:rPr>
        <w:t xml:space="preserve">Appendix A — Reproducibility and Environment Notes</w:t>
      </w:r>
    </w:p>
    <w:p>
      <w:pPr>
        <w:pStyle w:val="Heading2"/>
        <w:spacing w:after="120" w:before="280"/>
      </w:pPr>
      <w:r>
        <w:rPr>
          <w:rFonts w:ascii="Times New Roman" w:cs="Times New Roman" w:eastAsia="Times New Roman" w:hAnsi="Times New Roman"/>
          <w:b/>
          <w:bCs/>
          <w:color w:val="1F3864"/>
          <w:sz w:val="26"/>
          <w:szCs w:val="26"/>
        </w:rPr>
        <w:t xml:space="preserve">A.1 Repository Layout</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The project codebase is organised as follows:</w:t>
      </w:r>
    </w:p>
    <w:p>
      <w:pPr>
        <w:spacing w:after="120" w:before="0" w:line="360" w:lineRule="auto"/>
        <w:jc w:val="both"/>
      </w:pPr>
      <w:r>
        <w:rPr>
          <w:rFonts w:ascii="Times New Roman" w:cs="Times New Roman" w:eastAsia="Times New Roman" w:hAnsi="Times New Roman"/>
          <w:b w:val="false"/>
          <w:bCs w:val="false"/>
          <w:caps w:val="false"/>
          <w:color w:val="000000"/>
          <w:sz w:val="24"/>
          <w:szCs w:val="24"/>
        </w:rPr>
        <w:t xml:space="preserve">Building-Energy-Prediction/
├── raw-data/                 # EPC certificates (not in git)
├── data/processed/           # filtered CSVs, npy arrays, preprocessor
├── data/federated/           # client_*.csv and X_*/y_* arrays
├── data/raw/osm/             # OSM high-rise GeoJSON
├── src/data|models|federated|xai|evaluation|webapp
├── scripts/                  # run_all, load, preprocess, baselines, FL, XAI, eval
├── results/figures|tables|models
├── dissertation/
└── dev-docs/</w:t>
      </w:r>
    </w:p>
    <w:p>
      <w:pPr>
        <w:pStyle w:val="Heading2"/>
        <w:spacing w:after="120" w:before="280"/>
      </w:pPr>
      <w:r>
        <w:rPr>
          <w:rFonts w:ascii="Times New Roman" w:cs="Times New Roman" w:eastAsia="Times New Roman" w:hAnsi="Times New Roman"/>
          <w:b/>
          <w:bCs/>
          <w:color w:val="1F3864"/>
          <w:sz w:val="26"/>
          <w:szCs w:val="26"/>
        </w:rPr>
        <w:t xml:space="preserve">A.2 Launch Commands</w:t>
      </w:r>
    </w:p>
    <w:p>
      <w:pPr>
        <w:spacing w:after="120" w:before="0" w:line="360" w:lineRule="auto"/>
        <w:jc w:val="both"/>
      </w:pPr>
      <w:r>
        <w:rPr>
          <w:rFonts w:ascii="Times New Roman" w:cs="Times New Roman" w:eastAsia="Times New Roman" w:hAnsi="Times New Roman"/>
          <w:b w:val="false"/>
          <w:bCs w:val="false"/>
          <w:caps w:val="false"/>
          <w:color w:val="000000"/>
          <w:sz w:val="24"/>
          <w:szCs w:val="24"/>
        </w:rPr>
        <w:t xml:space="preserve"># Full pipeline:
arch -arm64 /bin/zsh -c 'source scripts/env.sh &amp;&amp; /bin/bash scripts/run_all.sh'
# Web application:
arch -arm64 /bin/zsh -c 'source scripts/env.sh &amp;&amp; streamlit run src/webapp/app.py'</w:t>
      </w:r>
    </w:p>
    <w:p>
      <w:pPr>
        <w:pStyle w:val="Heading2"/>
        <w:spacing w:after="120" w:before="280"/>
      </w:pPr>
      <w:r>
        <w:rPr>
          <w:rFonts w:ascii="Times New Roman" w:cs="Times New Roman" w:eastAsia="Times New Roman" w:hAnsi="Times New Roman"/>
          <w:b/>
          <w:bCs/>
          <w:color w:val="1F3864"/>
          <w:sz w:val="26"/>
          <w:szCs w:val="26"/>
        </w:rPr>
        <w:t xml:space="preserve">A.3 Known Pitfalls</w:t>
      </w:r>
    </w:p>
    <w:p>
      <w:pPr>
        <w:spacing w:after="80" w:before="0" w:line="320" w:lineRule="auto"/>
        <w:ind w:left="720" w:hanging="360"/>
        <w:jc w:val="both"/>
      </w:pPr>
      <w:r>
        <w:rPr>
          <w:rFonts w:ascii="Times New Roman" w:cs="Times New Roman" w:eastAsia="Times New Roman" w:hAnsi="Times New Roman"/>
          <w:b/>
          <w:bCs/>
          <w:caps w:val="false"/>
          <w:color w:val="000000"/>
          <w:sz w:val="24"/>
          <w:szCs w:val="24"/>
        </w:rPr>
        <w:t xml:space="preserve">• </w:t>
      </w:r>
      <w:r>
        <w:rPr>
          <w:rFonts w:ascii="Times New Roman" w:cs="Times New Roman" w:eastAsia="Times New Roman" w:hAnsi="Times New Roman"/>
          <w:b w:val="false"/>
          <w:bCs w:val="false"/>
          <w:caps w:val="false"/>
          <w:color w:val="000000"/>
          <w:sz w:val="24"/>
          <w:szCs w:val="24"/>
        </w:rPr>
        <w:t xml:space="preserve">/usr/local/bin/bash is x86 Homebrew — do not arch -arm64 bash.</w:t>
      </w:r>
    </w:p>
    <w:p>
      <w:pPr>
        <w:spacing w:after="80" w:before="0" w:line="320" w:lineRule="auto"/>
        <w:ind w:left="720" w:hanging="360"/>
        <w:jc w:val="both"/>
      </w:pPr>
      <w:r>
        <w:rPr>
          <w:rFonts w:ascii="Times New Roman" w:cs="Times New Roman" w:eastAsia="Times New Roman" w:hAnsi="Times New Roman"/>
          <w:b/>
          <w:bCs/>
          <w:caps w:val="false"/>
          <w:color w:val="000000"/>
          <w:sz w:val="24"/>
          <w:szCs w:val="24"/>
        </w:rPr>
        <w:t xml:space="preserve">• </w:t>
      </w:r>
      <w:r>
        <w:rPr>
          <w:rFonts w:ascii="Times New Roman" w:cs="Times New Roman" w:eastAsia="Times New Roman" w:hAnsi="Times New Roman"/>
          <w:b w:val="false"/>
          <w:bCs w:val="false"/>
          <w:caps w:val="false"/>
          <w:color w:val="000000"/>
          <w:sz w:val="24"/>
          <w:szCs w:val="24"/>
        </w:rPr>
        <w:t xml:space="preserve">Setting DYLD_LIBRARY_PATH to .deps/libomp breaks NumPy.</w:t>
      </w:r>
    </w:p>
    <w:p>
      <w:pPr>
        <w:spacing w:after="80" w:before="0" w:line="320" w:lineRule="auto"/>
        <w:ind w:left="720" w:hanging="360"/>
        <w:jc w:val="both"/>
      </w:pPr>
      <w:r>
        <w:rPr>
          <w:rFonts w:ascii="Times New Roman" w:cs="Times New Roman" w:eastAsia="Times New Roman" w:hAnsi="Times New Roman"/>
          <w:b/>
          <w:bCs/>
          <w:caps w:val="false"/>
          <w:color w:val="000000"/>
          <w:sz w:val="24"/>
          <w:szCs w:val="24"/>
        </w:rPr>
        <w:t xml:space="preserve">• </w:t>
      </w:r>
      <w:r>
        <w:rPr>
          <w:rFonts w:ascii="Times New Roman" w:cs="Times New Roman" w:eastAsia="Times New Roman" w:hAnsi="Times New Roman"/>
          <w:b w:val="false"/>
          <w:bCs w:val="false"/>
          <w:caps w:val="false"/>
          <w:color w:val="000000"/>
          <w:sz w:val="24"/>
          <w:szCs w:val="24"/>
        </w:rPr>
        <w:t xml:space="preserve">LightGBM may hang without OMP_NUM_THREADS=1 / n_jobs=1 on macOS.</w:t>
      </w:r>
    </w:p>
    <w:p>
      <w:pPr>
        <w:spacing w:after="80" w:before="0" w:line="320" w:lineRule="auto"/>
        <w:ind w:left="720" w:hanging="360"/>
        <w:jc w:val="both"/>
      </w:pPr>
      <w:r>
        <w:rPr>
          <w:rFonts w:ascii="Times New Roman" w:cs="Times New Roman" w:eastAsia="Times New Roman" w:hAnsi="Times New Roman"/>
          <w:b/>
          <w:bCs/>
          <w:caps w:val="false"/>
          <w:color w:val="000000"/>
          <w:sz w:val="24"/>
          <w:szCs w:val="24"/>
        </w:rPr>
        <w:t xml:space="preserve">• </w:t>
      </w:r>
      <w:r>
        <w:rPr>
          <w:rFonts w:ascii="Times New Roman" w:cs="Times New Roman" w:eastAsia="Times New Roman" w:hAnsi="Times New Roman"/>
          <w:b w:val="false"/>
          <w:bCs w:val="false"/>
          <w:caps w:val="false"/>
          <w:color w:val="000000"/>
          <w:sz w:val="24"/>
          <w:szCs w:val="24"/>
        </w:rPr>
        <w:t xml:space="preserve">Conda (base) + Rosetta can force x86 Python against arm64 wheels.</w:t>
      </w:r>
    </w:p>
    <w:p>
      <w:pPr>
        <w:spacing w:after="80" w:before="0"/>
      </w:pPr>
    </w:p>
    <w:p>
      <w:pPr>
        <w:pStyle w:val="Heading2"/>
        <w:spacing w:after="120" w:before="280"/>
      </w:pPr>
      <w:r>
        <w:rPr>
          <w:rFonts w:ascii="Times New Roman" w:cs="Times New Roman" w:eastAsia="Times New Roman" w:hAnsi="Times New Roman"/>
          <w:b/>
          <w:bCs/>
          <w:color w:val="1F3864"/>
          <w:sz w:val="26"/>
          <w:szCs w:val="26"/>
        </w:rPr>
        <w:t xml:space="preserve">A.4 Objective-to-Artefact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Objective</w:t>
            </w:r>
          </w:p>
        </w:tc>
        <w:tc>
          <w:tcPr>
            <w:tcW w:type="dxa" w:w="686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Key Artefacts</w:t>
            </w:r>
          </w:p>
        </w:tc>
      </w:tr>
      <w:tr>
        <w:tc>
          <w:tcPr>
            <w:tcW w:type="dxa" w:w="2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O1 Baselines</w:t>
            </w:r>
          </w:p>
        </w:tc>
        <w:tc>
          <w:tcPr>
            <w:tcW w:type="dxa" w:w="68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results/tables/baseline_metrics.json, model joblibs in results/models/centralised/</w:t>
            </w:r>
          </w:p>
        </w:tc>
      </w:tr>
      <w:tr>
        <w:tc>
          <w:tcPr>
            <w:tcW w:type="dxa" w:w="2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O2 FL</w:t>
            </w:r>
          </w:p>
        </w:tc>
        <w:tc>
          <w:tcPr>
            <w:tcW w:type="dxa" w:w="68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results/tables/federated_metrics.json, results/models/federated/federated_mlp.pt</w:t>
            </w:r>
          </w:p>
        </w:tc>
      </w:tr>
      <w:tr>
        <w:tc>
          <w:tcPr>
            <w:tcW w:type="dxa" w:w="2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O3 XAI</w:t>
            </w:r>
          </w:p>
        </w:tc>
        <w:tc>
          <w:tcPr>
            <w:tcW w:type="dxa" w:w="68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results/figures/shap_importance_*.png/.csv, results/figures/lime_*.png</w:t>
            </w:r>
          </w:p>
        </w:tc>
      </w:tr>
      <w:tr>
        <w:tc>
          <w:tcPr>
            <w:tcW w:type="dxa" w:w="2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O4 Comparison</w:t>
            </w:r>
          </w:p>
        </w:tc>
        <w:tc>
          <w:tcPr>
            <w:tcW w:type="dxa" w:w="68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results/tables/model_comparison.csv, statistical_tests.json, xai_stability.json</w:t>
            </w:r>
          </w:p>
        </w:tc>
      </w:tr>
      <w:tr>
        <w:tc>
          <w:tcPr>
            <w:tcW w:type="dxa" w:w="2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O5 Prototype</w:t>
            </w:r>
          </w:p>
        </w:tc>
        <w:tc>
          <w:tcPr>
            <w:tcW w:type="dxa" w:w="68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src/webapp/app.py, verified at localhost:8501 on 18 July 2026</w:t>
            </w:r>
          </w:p>
        </w:tc>
      </w:tr>
    </w:tbl>
    <w:p>
      <w:r>
        <w:br w:type="page"/>
      </w:r>
    </w:p>
    <w:p>
      <w:pPr>
        <w:pStyle w:val="Heading1"/>
        <w:spacing w:after="200" w:before="400"/>
      </w:pPr>
      <w:r>
        <w:rPr>
          <w:rFonts w:ascii="Times New Roman" w:cs="Times New Roman" w:eastAsia="Times New Roman" w:hAnsi="Times New Roman"/>
          <w:b/>
          <w:bCs/>
          <w:caps/>
          <w:color w:val="1F3864"/>
          <w:sz w:val="32"/>
          <w:szCs w:val="32"/>
        </w:rPr>
        <w:t xml:space="preserve">Appendix B — Extended Results Narrative</w:t>
      </w:r>
    </w:p>
    <w:p>
      <w:pPr>
        <w:pStyle w:val="Heading2"/>
        <w:spacing w:after="120" w:before="280"/>
      </w:pPr>
      <w:r>
        <w:rPr>
          <w:rFonts w:ascii="Times New Roman" w:cs="Times New Roman" w:eastAsia="Times New Roman" w:hAnsi="Times New Roman"/>
          <w:b/>
          <w:bCs/>
          <w:color w:val="1F3864"/>
          <w:sz w:val="26"/>
          <w:szCs w:val="26"/>
        </w:rPr>
        <w:t xml:space="preserve">B.1 Why Sparsity is Informative</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The 5,663 filtered records from over 14 million scanned rows represent approximately 0.04% retention. Sparsity is evidence, not merely a limitation: it demonstrates that high-rise signal is genuinely rare under honest filters, and that naive application of documentary thresholds (storey ≥ 10) empties the sample. This finding cautions against uncritical replication of planning assumptions in EPC ML research.</w:t>
      </w:r>
    </w:p>
    <w:p>
      <w:pPr>
        <w:pStyle w:val="Heading2"/>
        <w:spacing w:after="120" w:before="280"/>
      </w:pPr>
      <w:r>
        <w:rPr>
          <w:rFonts w:ascii="Times New Roman" w:cs="Times New Roman" w:eastAsia="Times New Roman" w:hAnsi="Times New Roman"/>
          <w:b/>
          <w:bCs/>
          <w:color w:val="1F3864"/>
          <w:sz w:val="26"/>
          <w:szCs w:val="26"/>
        </w:rPr>
        <w:t xml:space="preserve">B.2 Federated Round Dynamics</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Round 1's negative R² reflects an under-trained global MLP receiving first-round updates from clients with initialised (random) weights. Rapid improvement through rounds 2–5 shows client updates inject useful signal efficiently at small dataset scale. Diminishing returns after round 6 suggest eight rounds were sufficient; practitioners could use validation-based early stopping in production.</w:t>
      </w:r>
    </w:p>
    <w:p>
      <w:pPr>
        <w:pStyle w:val="Heading2"/>
        <w:spacing w:after="120" w:before="280"/>
      </w:pPr>
      <w:r>
        <w:rPr>
          <w:rFonts w:ascii="Times New Roman" w:cs="Times New Roman" w:eastAsia="Times New Roman" w:hAnsi="Times New Roman"/>
          <w:b/>
          <w:bCs/>
          <w:color w:val="1F3864"/>
          <w:sz w:val="26"/>
          <w:szCs w:val="26"/>
        </w:rPr>
        <w:t xml:space="preserve">B.3 Practical vs Statistical Significance</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Wilcoxon and t-tests detect a MAE gap of approximately 5 kWh/m²/year (80 vs 85). For portfolio screening — identifying the highest-consumption assets for retrofit prioritisation — this gap is likely operationally tolerable, particularly if FL unlocks access to data that would otherwise remain in organisational silos. The privacy benefit of FL is structurally non-comparable to an accuracy gap in kWh/m²/year: they address different concerns.</w:t>
      </w:r>
    </w:p>
    <w:p>
      <w:pPr>
        <w:pStyle w:val="Heading2"/>
        <w:spacing w:after="120" w:before="280"/>
      </w:pPr>
      <w:r>
        <w:rPr>
          <w:rFonts w:ascii="Times New Roman" w:cs="Times New Roman" w:eastAsia="Times New Roman" w:hAnsi="Times New Roman"/>
          <w:b/>
          <w:bCs/>
          <w:color w:val="1F3864"/>
          <w:sz w:val="26"/>
          <w:szCs w:val="26"/>
        </w:rPr>
        <w:t xml:space="preserve">B.4 Figure Reference Guide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Figure File</w:t>
            </w:r>
          </w:p>
        </w:tc>
        <w:tc>
          <w:tcPr>
            <w:tcW w:type="dxa" w:w="586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Description for Viva</w:t>
            </w:r>
          </w:p>
        </w:tc>
      </w:tr>
      <w:tr>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eda_target_hist.png</w:t>
            </w:r>
          </w:p>
        </w:tc>
        <w:tc>
          <w:tcPr>
            <w:tcW w:type="dxa" w:w="58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Target distribution is right-skewed; justifies 1st–99th percentile clipping</w:t>
            </w:r>
          </w:p>
        </w:tc>
      </w:tr>
      <w:tr>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eda_city_counts.png</w:t>
            </w:r>
          </w:p>
        </w:tc>
        <w:tc>
          <w:tcPr>
            <w:tcW w:type="dxa" w:w="58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London dominates sample size — sample-size non-IID</w:t>
            </w:r>
          </w:p>
        </w:tc>
      </w:tr>
      <w:tr>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federated_convergence.png</w:t>
            </w:r>
          </w:p>
        </w:tc>
        <w:tc>
          <w:tcPr>
            <w:tcW w:type="dxa" w:w="58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FL learns across rounds; convergence by round 5–6</w:t>
            </w:r>
          </w:p>
        </w:tc>
      </w:tr>
      <w:tr>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shap_comparison.png</w:t>
            </w:r>
          </w:p>
        </w:tc>
        <w:tc>
          <w:tcPr>
            <w:tcW w:type="dxa" w:w="58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Centralised vs federated SHAP — high visual agreement (Figure 4.1)</w:t>
            </w:r>
          </w:p>
        </w:tc>
      </w:tr>
      <w:tr>
        <w:tc>
          <w:tcPr>
            <w:tcW w:type="dxa" w:w="35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pred_vs_actual_*.png</w:t>
            </w:r>
          </w:p>
        </w:tc>
        <w:tc>
          <w:tcPr>
            <w:tcW w:type="dxa" w:w="58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Errors grow with magnitude; heteroscedastic energy data</w:t>
            </w:r>
          </w:p>
        </w:tc>
      </w:tr>
    </w:tbl>
    <w:p>
      <w:r>
        <w:br w:type="page"/>
      </w:r>
    </w:p>
    <w:p>
      <w:pPr>
        <w:pStyle w:val="Heading1"/>
        <w:spacing w:after="200" w:before="400"/>
      </w:pPr>
      <w:r>
        <w:rPr>
          <w:rFonts w:ascii="Times New Roman" w:cs="Times New Roman" w:eastAsia="Times New Roman" w:hAnsi="Times New Roman"/>
          <w:b/>
          <w:bCs/>
          <w:caps/>
          <w:color w:val="1F3864"/>
          <w:sz w:val="32"/>
          <w:szCs w:val="32"/>
        </w:rPr>
        <w:t xml:space="preserve">Appendix C — Ethics, Licence, and Policy Notes</w:t>
      </w:r>
    </w:p>
    <w:p>
      <w:pPr>
        <w:pStyle w:val="Heading2"/>
        <w:spacing w:after="120" w:before="280"/>
      </w:pPr>
      <w:r>
        <w:rPr>
          <w:rFonts w:ascii="Times New Roman" w:cs="Times New Roman" w:eastAsia="Times New Roman" w:hAnsi="Times New Roman"/>
          <w:b/>
          <w:bCs/>
          <w:color w:val="1F3864"/>
          <w:sz w:val="26"/>
          <w:szCs w:val="26"/>
        </w:rPr>
        <w:t xml:space="preserve">C.1 Ethics Review Stance</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This dissertation analyses publicly licensed EPC open data and OSM building tags. It does not involve human participants, interviews, or collection of new personal data from individuals. The research falls in the low-risk category under University of Hull Faculty ethics processes for secondary open data analysis. Ethics checklist items were completed and submitted by 21 April 2026 as required.</w:t>
      </w:r>
    </w:p>
    <w:p>
      <w:pPr>
        <w:pStyle w:val="Heading2"/>
        <w:spacing w:after="120" w:before="280"/>
      </w:pPr>
      <w:r>
        <w:rPr>
          <w:rFonts w:ascii="Times New Roman" w:cs="Times New Roman" w:eastAsia="Times New Roman" w:hAnsi="Times New Roman"/>
          <w:b/>
          <w:bCs/>
          <w:color w:val="1F3864"/>
          <w:sz w:val="26"/>
          <w:szCs w:val="26"/>
        </w:rPr>
        <w:t xml:space="preserve">C.2 Open Government Licence Obligations</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Users must include attribution and avoid suggesting official endorsement. Downstream products must not strip licence notices. Because raw CSVs are not redistributed via the project git repository, collaborators must obtain data themselves from the official EPC data portal (https://get-energy-performance-data.communities.gov.uk/).</w:t>
      </w:r>
    </w:p>
    <w:p>
      <w:pPr>
        <w:pStyle w:val="Heading2"/>
        <w:spacing w:after="120" w:before="280"/>
      </w:pPr>
      <w:r>
        <w:rPr>
          <w:rFonts w:ascii="Times New Roman" w:cs="Times New Roman" w:eastAsia="Times New Roman" w:hAnsi="Times New Roman"/>
          <w:b/>
          <w:bCs/>
          <w:color w:val="1F3864"/>
          <w:sz w:val="26"/>
          <w:szCs w:val="26"/>
        </w:rPr>
        <w:t xml:space="preserve">C.3 Privacy Considerations Beyond GDPR Slogans</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Even open data can enable inference when combined with other sources. Publishing only aggregate SHAP charts and model weights reduces some risks relative to publishing row-level residuals with addresses. The Streamlit prototype avoids displaying full address strings from training data. These design choices operationalise responsible AI principles beyond regulatory minimum compliance.</w:t>
      </w:r>
    </w:p>
    <w:p>
      <w:pPr>
        <w:pStyle w:val="Heading2"/>
        <w:spacing w:after="120" w:before="280"/>
      </w:pPr>
      <w:r>
        <w:rPr>
          <w:rFonts w:ascii="Times New Roman" w:cs="Times New Roman" w:eastAsia="Times New Roman" w:hAnsi="Times New Roman"/>
          <w:b/>
          <w:bCs/>
          <w:color w:val="1F3864"/>
          <w:sz w:val="26"/>
          <w:szCs w:val="26"/>
        </w:rPr>
        <w:t xml:space="preserve">C.4 Scope of the Privacy Claim</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This MSc project does not claim protection against membership inference on model updates, model inversion attacks, or malicious server-side attacks. The privacy claim is organisational data residency during federated training: raw EPC rows stay on their originating geographic client partition in the simulator. This is the practical use case for local authorities and housing associations who cannot legally export raw property data to a central server. Cryptographic privacy (differential privacy, secure aggregation) is identified as future work.</w:t>
      </w:r>
    </w:p>
    <w:p>
      <w:pPr>
        <w:pStyle w:val="Heading2"/>
        <w:spacing w:after="120" w:before="280"/>
      </w:pPr>
      <w:r>
        <w:rPr>
          <w:rFonts w:ascii="Times New Roman" w:cs="Times New Roman" w:eastAsia="Times New Roman" w:hAnsi="Times New Roman"/>
          <w:b/>
          <w:bCs/>
          <w:color w:val="1F3864"/>
          <w:sz w:val="26"/>
          <w:szCs w:val="26"/>
        </w:rPr>
        <w:t xml:space="preserve">C.5 Policy Vignette</w:t>
      </w:r>
    </w:p>
    <w:p>
      <w:pPr>
        <w:spacing w:after="160" w:before="0" w:line="360" w:lineRule="auto"/>
        <w:jc w:val="both"/>
      </w:pPr>
      <w:r>
        <w:rPr>
          <w:rFonts w:ascii="Times New Roman" w:cs="Times New Roman" w:eastAsia="Times New Roman" w:hAnsi="Times New Roman"/>
          <w:b w:val="false"/>
          <w:bCs w:val="false"/>
          <w:caps w:val="false"/>
          <w:color w:val="000000"/>
          <w:sz w:val="24"/>
          <w:szCs w:val="24"/>
        </w:rPr>
        <w:t xml:space="preserve">Consider a local authority holding non-domestic EPCs for large floor-plate commercial assets and a neighbouring authority in the same combined authority. Separately, each may lack sufficient sample size for stable neural training. Together, via Federated Averaging, they can train a shared MLP. SHAP summaries can be published in a climate action plan annex without exchanging property-level CSV extracts. This vignette encapsulates the intended socio-technical contribution of PP-XAI, independent of any single R² figure.</w:t>
      </w:r>
    </w:p>
    <w:p>
      <w:r>
        <w:br w:type="page"/>
      </w:r>
    </w:p>
    <w:p>
      <w:pPr>
        <w:pStyle w:val="Heading1"/>
        <w:spacing w:after="200" w:before="400"/>
      </w:pPr>
      <w:r>
        <w:rPr>
          <w:rFonts w:ascii="Times New Roman" w:cs="Times New Roman" w:eastAsia="Times New Roman" w:hAnsi="Times New Roman"/>
          <w:b/>
          <w:bCs/>
          <w:caps/>
          <w:color w:val="1F3864"/>
          <w:sz w:val="32"/>
          <w:szCs w:val="32"/>
        </w:rPr>
        <w:t xml:space="preserve">Appendix D — Glossary and Abbreviations</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Term</w:t>
            </w:r>
          </w:p>
        </w:tc>
        <w:tc>
          <w:tcPr>
            <w:tcW w:type="dxa" w:w="7360"/>
            <w:tcBorders>
              <w:top w:val="single" w:color="000000" w:sz="6"/>
              <w:left w:val="single" w:color="000000" w:sz="6"/>
              <w:bottom w:val="single" w:color="000000" w:sz="6"/>
              <w:right w:val="single" w:color="000000" w:sz="6"/>
            </w:tcBorders>
            <w:shd w:fill="1F3864" w:val="clear"/>
            <w:tcMar>
              <w:top w:type="dxa" w:w="80"/>
              <w:left w:type="dxa" w:w="120"/>
              <w:bottom w:type="dxa" w:w="80"/>
              <w:right w:type="dxa" w:w="120"/>
            </w:tcMar>
            <w:vAlign w:val="center"/>
          </w:tcPr>
          <w:p>
            <w:pPr>
              <w:spacing w:after="0" w:before="0"/>
              <w:jc w:val="center"/>
            </w:pPr>
            <w:r>
              <w:rPr>
                <w:rFonts w:ascii="Times New Roman" w:cs="Times New Roman" w:eastAsia="Times New Roman" w:hAnsi="Times New Roman"/>
                <w:b/>
                <w:bCs/>
                <w:sz w:val="20"/>
                <w:szCs w:val="20"/>
              </w:rPr>
              <w:t xml:space="preserve">Definition</w:t>
            </w:r>
          </w:p>
        </w:tc>
      </w:tr>
      <w:t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EPC</w:t>
            </w:r>
          </w:p>
        </w:tc>
        <w:tc>
          <w:tcPr>
            <w:tcW w:type="dxa" w:w="7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Energy Performance Certificate — UK regulatory document assessing building energy efficiency</w:t>
            </w:r>
          </w:p>
        </w:tc>
      </w:tr>
      <w:t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FL / FedAvg</w:t>
            </w:r>
          </w:p>
        </w:tc>
        <w:tc>
          <w:tcPr>
            <w:tcW w:type="dxa" w:w="7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Federated Learning / Federated Averaging — training ML models without pooling raw data</w:t>
            </w:r>
          </w:p>
        </w:tc>
      </w:tr>
      <w:t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SHAP</w:t>
            </w:r>
          </w:p>
        </w:tc>
        <w:tc>
          <w:tcPr>
            <w:tcW w:type="dxa" w:w="7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SHapley Additive exPlanations — feature attribution based on cooperative game theory</w:t>
            </w:r>
          </w:p>
        </w:tc>
      </w:tr>
      <w:t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LIME</w:t>
            </w:r>
          </w:p>
        </w:tc>
        <w:tc>
          <w:tcPr>
            <w:tcW w:type="dxa" w:w="7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Local Interpretable Model-agnostic Explanations — local surrogate model for instance explanations</w:t>
            </w:r>
          </w:p>
        </w:tc>
      </w:tr>
      <w:t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PP-XAI</w:t>
            </w:r>
          </w:p>
        </w:tc>
        <w:tc>
          <w:tcPr>
            <w:tcW w:type="dxa" w:w="7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Privacy-Preserving Explainable AI — this dissertation's integrated framework</w:t>
            </w:r>
          </w:p>
        </w:tc>
      </w:tr>
      <w:t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R²</w:t>
            </w:r>
          </w:p>
        </w:tc>
        <w:tc>
          <w:tcPr>
            <w:tcW w:type="dxa" w:w="7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Coefficient of determination — fraction of target variance explained (1.0 = perfect)</w:t>
            </w:r>
          </w:p>
        </w:tc>
      </w:tr>
      <w:t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RMSE</w:t>
            </w:r>
          </w:p>
        </w:tc>
        <w:tc>
          <w:tcPr>
            <w:tcW w:type="dxa" w:w="7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Root Mean Square Error — square root of mean squared prediction error</w:t>
            </w:r>
          </w:p>
        </w:tc>
      </w:tr>
      <w:t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MAE</w:t>
            </w:r>
          </w:p>
        </w:tc>
        <w:tc>
          <w:tcPr>
            <w:tcW w:type="dxa" w:w="7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Mean Absolute Error — average absolute prediction error in original units</w:t>
            </w:r>
          </w:p>
        </w:tc>
      </w:tr>
      <w:t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MAPE</w:t>
            </w:r>
          </w:p>
        </w:tc>
        <w:tc>
          <w:tcPr>
            <w:tcW w:type="dxa" w:w="7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Mean Absolute Percentage Error — relative prediction error (%)</w:t>
            </w:r>
          </w:p>
        </w:tc>
      </w:tr>
      <w:t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non-IID</w:t>
            </w:r>
          </w:p>
        </w:tc>
        <w:tc>
          <w:tcPr>
            <w:tcW w:type="dxa" w:w="7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Non-Identically Independently Distributed — client datasets with differing distributions</w:t>
            </w:r>
          </w:p>
        </w:tc>
      </w:tr>
      <w:t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OGL</w:t>
            </w:r>
          </w:p>
        </w:tc>
        <w:tc>
          <w:tcPr>
            <w:tcW w:type="dxa" w:w="7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Open Government Licence v3.0 — licence for UK EPC open data</w:t>
            </w:r>
          </w:p>
        </w:tc>
      </w:tr>
      <w:t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UPRN</w:t>
            </w:r>
          </w:p>
        </w:tc>
        <w:tc>
          <w:tcPr>
            <w:tcW w:type="dxa" w:w="7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Unique Property Reference Number — stable UK property identifier</w:t>
            </w:r>
          </w:p>
        </w:tc>
      </w:tr>
      <w:t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OSM</w:t>
            </w:r>
          </w:p>
        </w:tc>
        <w:tc>
          <w:tcPr>
            <w:tcW w:type="dxa" w:w="7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OpenStreetMap — open crowd-sourced map data</w:t>
            </w:r>
          </w:p>
        </w:tc>
      </w:tr>
      <w:t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MEES</w:t>
            </w:r>
          </w:p>
        </w:tc>
        <w:tc>
          <w:tcPr>
            <w:tcW w:type="dxa" w:w="7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Minimum Energy Efficiency Standards — UK private rented sector EPC requirements</w:t>
            </w:r>
          </w:p>
        </w:tc>
      </w:tr>
      <w:t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EU AI Act</w:t>
            </w:r>
          </w:p>
        </w:tc>
        <w:tc>
          <w:tcPr>
            <w:tcW w:type="dxa" w:w="7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European Parliament Regulation (EU) 2024/1689 on Artificial Intelligence</w:t>
            </w:r>
          </w:p>
        </w:tc>
      </w:tr>
      <w:t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EPBD</w:t>
            </w:r>
          </w:p>
        </w:tc>
        <w:tc>
          <w:tcPr>
            <w:tcW w:type="dxa" w:w="7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Energy Performance of Buildings Directive (EU recast 2024)</w:t>
            </w:r>
          </w:p>
        </w:tc>
      </w:tr>
      <w:t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XAI</w:t>
            </w:r>
          </w:p>
        </w:tc>
        <w:tc>
          <w:tcPr>
            <w:tcW w:type="dxa" w:w="7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Explainable Artificial Intelligence — methods making ML model decisions interpretable</w:t>
            </w:r>
          </w:p>
        </w:tc>
      </w:tr>
      <w:t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MLP</w:t>
            </w:r>
          </w:p>
        </w:tc>
        <w:tc>
          <w:tcPr>
            <w:tcW w:type="dxa" w:w="7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Multilayer Perceptron — feed-forward neural network used as federated model</w:t>
            </w:r>
          </w:p>
        </w:tc>
      </w:tr>
      <w:t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RF</w:t>
            </w:r>
          </w:p>
        </w:tc>
        <w:tc>
          <w:tcPr>
            <w:tcW w:type="dxa" w:w="7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Random Forest — ensemble of decision trees with bagging</w:t>
            </w:r>
          </w:p>
        </w:tc>
      </w:tr>
      <w:tr>
        <w:tc>
          <w:tcPr>
            <w:tcW w:type="dxa" w:w="200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bCs/>
                <w:sz w:val="20"/>
                <w:szCs w:val="20"/>
              </w:rPr>
              <w:t xml:space="preserve">KernelExplainer</w:t>
            </w:r>
          </w:p>
        </w:tc>
        <w:tc>
          <w:tcPr>
            <w:tcW w:type="dxa" w:w="7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0" w:before="0"/>
              <w:jc w:val="left"/>
            </w:pPr>
            <w:r>
              <w:rPr>
                <w:rFonts w:ascii="Times New Roman" w:cs="Times New Roman" w:eastAsia="Times New Roman" w:hAnsi="Times New Roman"/>
                <w:b w:val="false"/>
                <w:bCs w:val="false"/>
                <w:sz w:val="20"/>
                <w:szCs w:val="20"/>
              </w:rPr>
              <w:t xml:space="preserve">SHAP model-agnostic approximation via Kernel SHAP sampling</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caps w:val="false"/>
        <w:color w:val="000000"/>
        <w:sz w:val="18"/>
        <w:szCs w:val="18"/>
      </w:rPr>
      <w:t xml:space="preserve">Student: 202440724 | MSc Applied Artificial Intelligence | University of Hull | 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80"/>
        <w:ind w:left="720" w:hanging="360"/>
      </w:pPr>
    </w:lvl>
  </w:abstractNum>
  <w:abstractNum w:abstractNumId="3" w15:restartNumberingAfterBreak="0">
    <w:multiLevelType w:val="hybridMultilevel"/>
    <w:lvl w:ilvl="0" w15:tentative="1">
      <w:start w:val="1"/>
      <w:numFmt w:val="decimal"/>
      <w:lvlText w:val="%1."/>
      <w:lvlJc w:val="left"/>
      <w:pPr>
        <w:spacing w:after="80"/>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60" w:line="360" w:lineRule="auto"/>
      <w:jc w:val="both"/>
    </w:pPr>
    <w:rPr>
      <w:rFonts w:ascii="Times New Roman" w:cs="Times New Roman" w:eastAsia="Times New Roman" w:hAnsi="Times New Roman"/>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9b3ee9dc3fb61ab2ad3d92a5a5426acec09aedf.png"/><Relationship Id="rId9" Type="http://schemas.openxmlformats.org/officeDocument/2006/relationships/image" Target="media/9f0fc6bfab1b1bcda4a990c51d20a9f3e1ee7ec0.png"/><Relationship Id="rId10" Type="http://schemas.openxmlformats.org/officeDocument/2006/relationships/image" Target="media/61d9a61f83a1027f1359d6eac8da6573f9f15c6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2026-07-21T09:11:43.960Z</dcterms:created>
  <dcterms:modified xsi:type="dcterms:W3CDTF">2026-07-21T09:11:43.971Z</dcterms:modified>
</cp:coreProperties>
</file>

<file path=docProps/custom.xml><?xml version="1.0" encoding="utf-8"?>
<Properties xmlns="http://schemas.openxmlformats.org/officeDocument/2006/custom-properties" xmlns:vt="http://schemas.openxmlformats.org/officeDocument/2006/docPropsVTypes"/>
</file>