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120" w:before="0"/>
        <w:jc w:val="center"/>
      </w:pPr>
      <w:r>
        <w:rPr>
          <w:rFonts w:ascii="Times New Roman" w:cs="Times New Roman" w:eastAsia="Times New Roman" w:hAnsi="Times New Roman"/>
          <w:b/>
          <w:bCs/>
          <w:caps/>
          <w:color w:val="1F3864"/>
          <w:sz w:val="26"/>
          <w:szCs w:val="26"/>
        </w:rPr>
        <w:t xml:space="preserve">UNIVERSITY OF HULL</w:t>
      </w:r>
    </w:p>
    <w:p>
      <w:pPr>
        <w:spacing w:after="80" w:before="0"/>
        <w:jc w:val="center"/>
      </w:pPr>
      <w:r>
        <w:rPr>
          <w:rFonts w:ascii="Times New Roman" w:cs="Times New Roman" w:eastAsia="Times New Roman" w:hAnsi="Times New Roman"/>
          <w:b w:val="false"/>
          <w:bCs w:val="false"/>
          <w:caps w:val="false"/>
          <w:color w:val="000000"/>
          <w:sz w:val="24"/>
          <w:szCs w:val="24"/>
        </w:rPr>
        <w:t xml:space="preserve">School of Computer Science</w:t>
      </w:r>
    </w:p>
    <w:p>
      <w:pPr>
        <w:spacing w:after="400" w:before="0"/>
      </w:pPr>
    </w:p>
    <w:p>
      <w:pPr>
        <w:spacing w:after="120" w:before="0"/>
        <w:jc w:val="center"/>
      </w:pPr>
      <w:r>
        <w:rPr>
          <w:rFonts w:ascii="Times New Roman" w:cs="Times New Roman" w:eastAsia="Times New Roman" w:hAnsi="Times New Roman"/>
          <w:b/>
          <w:bCs/>
          <w:caps w:val="false"/>
          <w:color w:val="1F3864"/>
          <w:sz w:val="36"/>
          <w:szCs w:val="36"/>
        </w:rPr>
        <w:t xml:space="preserve">Privacy-Preserving Explainable AI for Building Energy</w:t>
      </w:r>
    </w:p>
    <w:p>
      <w:pPr>
        <w:spacing w:after="120" w:before="0"/>
        <w:jc w:val="center"/>
      </w:pPr>
      <w:r>
        <w:rPr>
          <w:rFonts w:ascii="Times New Roman" w:cs="Times New Roman" w:eastAsia="Times New Roman" w:hAnsi="Times New Roman"/>
          <w:b/>
          <w:bCs/>
          <w:caps w:val="false"/>
          <w:color w:val="1F3864"/>
          <w:sz w:val="36"/>
          <w:szCs w:val="36"/>
        </w:rPr>
        <w:t xml:space="preserve">Performance Prediction: A Federated Learning Approach</w:t>
      </w:r>
    </w:p>
    <w:p>
      <w:pPr>
        <w:spacing w:after="400" w:before="0"/>
        <w:jc w:val="center"/>
      </w:pPr>
      <w:r>
        <w:rPr>
          <w:rFonts w:ascii="Times New Roman" w:cs="Times New Roman" w:eastAsia="Times New Roman" w:hAnsi="Times New Roman"/>
          <w:b/>
          <w:bCs/>
          <w:caps w:val="false"/>
          <w:color w:val="1F3864"/>
          <w:sz w:val="36"/>
          <w:szCs w:val="36"/>
        </w:rPr>
        <w:t xml:space="preserve">with SHAP and LIME Integration for High-Rise Structures</w:t>
      </w:r>
    </w:p>
    <w:p>
      <w:pPr>
        <w:spacing w:after="80" w:before="0"/>
        <w:jc w:val="center"/>
      </w:pPr>
      <w:r>
        <w:rPr>
          <w:rFonts w:ascii="Times New Roman" w:cs="Times New Roman" w:eastAsia="Times New Roman" w:hAnsi="Times New Roman"/>
          <w:b w:val="false"/>
          <w:bCs w:val="false"/>
          <w:caps w:val="false"/>
          <w:color w:val="000000"/>
          <w:sz w:val="28"/>
          <w:szCs w:val="28"/>
        </w:rPr>
        <w:t xml:space="preserve">PP-XAI Dissertation</w:t>
      </w:r>
    </w:p>
    <w:p>
      <w:pPr>
        <w:spacing w:after="400" w:before="0"/>
      </w:pPr>
    </w:p>
    <w:p>
      <w:pPr>
        <w:spacing w:after="80" w:before="0"/>
        <w:jc w:val="center"/>
      </w:pPr>
      <w:r>
        <w:rPr>
          <w:rFonts w:ascii="Times New Roman" w:cs="Times New Roman" w:eastAsia="Times New Roman" w:hAnsi="Times New Roman"/>
          <w:b/>
          <w:bCs/>
          <w:caps w:val="false"/>
          <w:color w:val="000000"/>
          <w:sz w:val="24"/>
          <w:szCs w:val="24"/>
        </w:rPr>
        <w:t xml:space="preserve">Submitted by: </w:t>
      </w:r>
      <w:r>
        <w:rPr>
          <w:rFonts w:ascii="Times New Roman" w:cs="Times New Roman" w:eastAsia="Times New Roman" w:hAnsi="Times New Roman"/>
          <w:b w:val="false"/>
          <w:bCs w:val="false"/>
          <w:caps w:val="false"/>
          <w:color w:val="000000"/>
          <w:sz w:val="24"/>
          <w:szCs w:val="24"/>
        </w:rPr>
        <w:t xml:space="preserve">Syed Ali Raza</w:t>
      </w:r>
    </w:p>
    <w:p>
      <w:pPr>
        <w:spacing w:after="80" w:before="0"/>
        <w:jc w:val="center"/>
      </w:pPr>
      <w:r>
        <w:rPr>
          <w:rFonts w:ascii="Times New Roman" w:cs="Times New Roman" w:eastAsia="Times New Roman" w:hAnsi="Times New Roman"/>
          <w:b/>
          <w:bCs/>
          <w:caps w:val="false"/>
          <w:color w:val="000000"/>
          <w:sz w:val="24"/>
          <w:szCs w:val="24"/>
        </w:rPr>
        <w:t xml:space="preserve">Student Number: </w:t>
      </w:r>
      <w:r>
        <w:rPr>
          <w:rFonts w:ascii="Times New Roman" w:cs="Times New Roman" w:eastAsia="Times New Roman" w:hAnsi="Times New Roman"/>
          <w:b w:val="false"/>
          <w:bCs w:val="false"/>
          <w:caps w:val="false"/>
          <w:color w:val="000000"/>
          <w:sz w:val="24"/>
          <w:szCs w:val="24"/>
        </w:rPr>
        <w:t xml:space="preserve">202440724</w:t>
      </w:r>
    </w:p>
    <w:p>
      <w:pPr>
        <w:spacing w:after="80" w:before="0"/>
        <w:jc w:val="center"/>
      </w:pPr>
      <w:r>
        <w:rPr>
          <w:rFonts w:ascii="Times New Roman" w:cs="Times New Roman" w:eastAsia="Times New Roman" w:hAnsi="Times New Roman"/>
          <w:b/>
          <w:bCs/>
          <w:caps w:val="false"/>
          <w:color w:val="000000"/>
          <w:sz w:val="24"/>
          <w:szCs w:val="24"/>
        </w:rPr>
        <w:t xml:space="preserve">Programme: </w:t>
      </w:r>
      <w:r>
        <w:rPr>
          <w:rFonts w:ascii="Times New Roman" w:cs="Times New Roman" w:eastAsia="Times New Roman" w:hAnsi="Times New Roman"/>
          <w:b w:val="false"/>
          <w:bCs w:val="false"/>
          <w:caps w:val="false"/>
          <w:color w:val="000000"/>
          <w:sz w:val="24"/>
          <w:szCs w:val="24"/>
        </w:rPr>
        <w:t xml:space="preserve">MSc Applied Artificial Intelligence</w:t>
      </w:r>
    </w:p>
    <w:p>
      <w:pPr>
        <w:spacing w:after="80" w:before="0"/>
        <w:jc w:val="center"/>
      </w:pPr>
      <w:r>
        <w:rPr>
          <w:rFonts w:ascii="Times New Roman" w:cs="Times New Roman" w:eastAsia="Times New Roman" w:hAnsi="Times New Roman"/>
          <w:b/>
          <w:bCs/>
          <w:caps w:val="false"/>
          <w:color w:val="000000"/>
          <w:sz w:val="24"/>
          <w:szCs w:val="24"/>
        </w:rPr>
        <w:t xml:space="preserve">Supervisor: </w:t>
      </w:r>
      <w:r>
        <w:rPr>
          <w:rFonts w:ascii="Times New Roman" w:cs="Times New Roman" w:eastAsia="Times New Roman" w:hAnsi="Times New Roman"/>
          <w:b w:val="false"/>
          <w:bCs w:val="false"/>
          <w:caps w:val="false"/>
          <w:color w:val="000000"/>
          <w:sz w:val="24"/>
          <w:szCs w:val="24"/>
        </w:rPr>
        <w:t xml:space="preserve">Mona</w:t>
      </w:r>
    </w:p>
    <w:p>
      <w:pPr>
        <w:spacing w:after="80" w:before="0"/>
        <w:jc w:val="center"/>
      </w:pPr>
      <w:r>
        <w:rPr>
          <w:rFonts w:ascii="Times New Roman" w:cs="Times New Roman" w:eastAsia="Times New Roman" w:hAnsi="Times New Roman"/>
          <w:b/>
          <w:bCs/>
          <w:caps w:val="false"/>
          <w:color w:val="000000"/>
          <w:sz w:val="24"/>
          <w:szCs w:val="24"/>
        </w:rPr>
        <w:t xml:space="preserve">Module: </w:t>
      </w:r>
      <w:r>
        <w:rPr>
          <w:rFonts w:ascii="Times New Roman" w:cs="Times New Roman" w:eastAsia="Times New Roman" w:hAnsi="Times New Roman"/>
          <w:b w:val="false"/>
          <w:bCs w:val="false"/>
          <w:caps w:val="false"/>
          <w:color w:val="000000"/>
          <w:sz w:val="24"/>
          <w:szCs w:val="24"/>
        </w:rPr>
        <w:t xml:space="preserve">771952</w:t>
      </w:r>
    </w:p>
    <w:p>
      <w:pPr>
        <w:spacing w:after="80" w:before="0"/>
        <w:jc w:val="center"/>
      </w:pPr>
      <w:r>
        <w:rPr>
          <w:rFonts w:ascii="Times New Roman" w:cs="Times New Roman" w:eastAsia="Times New Roman" w:hAnsi="Times New Roman"/>
          <w:b/>
          <w:bCs/>
          <w:caps w:val="false"/>
          <w:color w:val="000000"/>
          <w:sz w:val="24"/>
          <w:szCs w:val="24"/>
        </w:rPr>
        <w:t xml:space="preserve">Submission Date: </w:t>
      </w:r>
      <w:r>
        <w:rPr>
          <w:rFonts w:ascii="Times New Roman" w:cs="Times New Roman" w:eastAsia="Times New Roman" w:hAnsi="Times New Roman"/>
          <w:b w:val="false"/>
          <w:bCs w:val="false"/>
          <w:caps w:val="false"/>
          <w:color w:val="000000"/>
          <w:sz w:val="24"/>
          <w:szCs w:val="24"/>
        </w:rPr>
        <w:t xml:space="preserve">August 2026</w:t>
      </w:r>
    </w:p>
    <w:p>
      <w:pPr>
        <w:spacing w:after="300" w:before="0"/>
      </w:pPr>
    </w:p>
    <w:p>
      <w:pPr>
        <w:spacing w:after="80" w:before="0"/>
        <w:jc w:val="center"/>
      </w:pPr>
      <w:r>
        <w:rPr>
          <w:rFonts w:ascii="Times New Roman" w:cs="Times New Roman" w:eastAsia="Times New Roman" w:hAnsi="Times New Roman"/>
          <w:b w:val="false"/>
          <w:bCs w:val="false"/>
          <w:caps w:val="false"/>
          <w:color w:val="000000"/>
          <w:sz w:val="22"/>
          <w:szCs w:val="22"/>
        </w:rPr>
        <w:t xml:space="preserve">Submitted in partial fulfilment of the requirements for the degree of</w:t>
      </w:r>
    </w:p>
    <w:p>
      <w:pPr>
        <w:spacing w:after="80" w:before="0"/>
        <w:jc w:val="center"/>
      </w:pPr>
      <w:r>
        <w:rPr>
          <w:rFonts w:ascii="Times New Roman" w:cs="Times New Roman" w:eastAsia="Times New Roman" w:hAnsi="Times New Roman"/>
          <w:b/>
          <w:bCs/>
          <w:caps w:val="false"/>
          <w:color w:val="000000"/>
          <w:sz w:val="22"/>
          <w:szCs w:val="22"/>
        </w:rPr>
        <w:t xml:space="preserve">Master of Science in Applied Artificial Intelligence</w:t>
      </w:r>
    </w:p>
    <w:p>
      <w:r>
        <w:br w:type="page"/>
      </w:r>
    </w:p>
    <w:p>
      <w:pPr>
        <w:pStyle w:val="Headingfrontmatter"/>
        <w:spacing w:after="200" w:before="400"/>
      </w:pPr>
      <w:r>
        <w:rPr>
          <w:rFonts w:ascii="Times New Roman" w:cs="Times New Roman" w:eastAsia="Times New Roman" w:hAnsi="Times New Roman"/>
          <w:b/>
          <w:bCs/>
          <w:caps/>
          <w:color w:val="1F3864"/>
          <w:sz w:val="32"/>
          <w:szCs w:val="32"/>
        </w:rPr>
        <w:t xml:space="preserve">Abstract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Predicting building energy performance from Energy Performance Certificate (EPC) data can support retrofit prioritisation and portfolio analytics, but centralising microdata raises privacy and governance barriers — especially for high-rise residential and large commercial assets. This dissertation presents PP-XAI, a privacy-preserving explainable AI framework that combines Federated Averaging (FedAvg) with SHAP (SHapley Additive exPlanations) and LIME (Local Interpretable Model-agnostic Explanations) for high-rise building energy prediction on UK EPC open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After auditing bulk export schemas, high-rise filters were revised: domestic flats with storey count ≥ 5 in London, Manchester, and Birmingham client partitions, and non-domestic buildings with floor area ≥ 5,000 m² excluding institutional types. Target-leaking emissions features were excluded to preserve scientific integrity. On 5,663 filtered records drawn from over 14 million scanned certificates, centralised gradient boosting achieved R² ≈ 0.559 (RMSE 113.04); a federated MLP reached R² ≈ 0.517 (RMSE 118.32) after eight rounds, closely matching a centralised MLP (R² 0.528). Spearman rank correlation of mean absolute SHAP values between centralised and federated models was ρ ≈ 0.956 (p &lt; 0.001). Statistical tests (Wilcoxon p = 1.06 × 10⁻⁵; paired t-test p = 4.98 × 10⁻⁵) confirm the accuracy gap, whilst its practical magnitude is modest relative to the privacy benefit.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Streamlit prototype demonstrates interactive prediction with global SHAP explanations and local LIME attributions, aligned with EU AI Act Article 13 transparency expectations. The results indicate that federated learning can approach centralised neural accuracy while preserving explanation stability, with honestly reported limitations regarding domestic tower coverage in bulk EPC storey metadata fields. This work contributes an audit-informed filter strategy, a reproducible federated XAI pipeline, and a stakeholder-facing demonstrator for privacy-preserving building energy analytics.</w:t>
      </w:r>
    </w:p>
    <w:p>
      <w:pPr>
        <w:spacing w:after="100" w:before="0"/>
      </w:pPr>
    </w:p>
    <w:p>
      <w:pPr>
        <w:spacing w:after="200" w:before="0" w:line="360" w:lineRule="auto"/>
        <w:jc w:val="both"/>
      </w:pPr>
      <w:r>
        <w:rPr>
          <w:rFonts w:ascii="Times New Roman" w:cs="Times New Roman" w:eastAsia="Times New Roman" w:hAnsi="Times New Roman"/>
          <w:b/>
          <w:bCs/>
          <w:caps w:val="false"/>
          <w:color w:val="000000"/>
          <w:sz w:val="24"/>
          <w:szCs w:val="24"/>
        </w:rPr>
        <w:t xml:space="preserve">Keywords: </w:t>
      </w:r>
      <w:r>
        <w:rPr>
          <w:rFonts w:ascii="Times New Roman" w:cs="Times New Roman" w:eastAsia="Times New Roman" w:hAnsi="Times New Roman"/>
          <w:b w:val="false"/>
          <w:bCs w:val="false"/>
          <w:caps w:val="false"/>
          <w:color w:val="000000"/>
          <w:sz w:val="24"/>
          <w:szCs w:val="24"/>
        </w:rPr>
        <w:t xml:space="preserve">Federated Learning; Explainable AI; SHAP; LIME; Energy Performance Certificates; High-rise buildings; Privacy-preserving machine learning; UK EPC data</w:t>
      </w:r>
    </w:p>
    <w:p>
      <w:r>
        <w:br w:type="page"/>
      </w:r>
    </w:p>
    <w:p>
      <w:pPr>
        <w:pStyle w:val="Headingfrontmatter"/>
        <w:spacing w:after="200" w:before="400"/>
      </w:pPr>
      <w:r>
        <w:rPr>
          <w:rFonts w:ascii="Times New Roman" w:cs="Times New Roman" w:eastAsia="Times New Roman" w:hAnsi="Times New Roman"/>
          <w:b/>
          <w:bCs/>
          <w:caps/>
          <w:color w:val="1F3864"/>
          <w:sz w:val="32"/>
          <w:szCs w:val="32"/>
        </w:rPr>
        <w:t xml:space="preserve">Acknowledgements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 would like to thank my supervisor Mona for guidance and constructive feedback throughout this project. Her direction helped shape the research focus and improved the quality of the analysis substantially.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 acknowledge the University of Hull MSc Applied Artificial Intelligence programme team for their support. EPC open data providers are acknowledged under Open Government Licence v3.0; OpenStreetMap contributors are acknowledged under the Open Database Licence (ODbL). Any errors or omissions remain my own.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Development was assisted by Cursor IDE with AI code-generation support; all experimental judgements, filter decisions, and analytical conclusions are my own.</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1 — Introduction</w:t>
      </w:r>
    </w:p>
    <w:p>
      <w:pPr>
        <w:pStyle w:val="Heading2"/>
        <w:spacing w:after="120" w:before="280"/>
      </w:pPr>
      <w:r>
        <w:rPr>
          <w:rFonts w:ascii="Times New Roman" w:cs="Times New Roman" w:eastAsia="Times New Roman" w:hAnsi="Times New Roman"/>
          <w:b/>
          <w:bCs/>
          <w:color w:val="1F3864"/>
          <w:sz w:val="26"/>
          <w:szCs w:val="26"/>
        </w:rPr>
        <w:t xml:space="preserve">1.1 Background and Motivation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United Kingdom's pathway to net-zero greenhouse gas emissions places buildings at the centre of national energy and climate policy. Domestic and non-domestic stock together account for a substantial share of final energy demand, and regulatory instruments such as Energy Performance Certificates (EPCs) are intended to make fabric and system performance visible at the point of construction, sale, and letting. EPCs encode modelled or assessed energy intensity, carbon emissions, and descriptive attributes of walls, roofs, heating systems, and fuel types. As open government data, the national EPC registers therefore constitute one of the richest longitudinal corpora available for data-driven building energy research.</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High-rise buildings occupy a distinctive position within this stock. Residential tower blocks concentrate many dwellings under a shared envelope and services strategy, raising both energy-intensity questions and strong privacy concerns: individual flat-level certificates can reveal occupancy-related patterns that engage GDPR protections (McMahan et al., 2017). Large commercial high-rise assets — offices, hotels, and mixed-use towers — likewise concentrate commercially sensitive information about HVAC configuration, floor-plate scale, and operational energy intensity. Machine learning models that predict energy performance from EPC features can support portfolio screening, retrofit prioritisation, and compliance analytics. However, conventional centralised training assumes that microdata can be pooled in a single repository, which for councils, housing associations, and commercial landlords may be organisationally or legally constrained.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Learning (FL) offers an alternative training paradigm in which model updates, rather than raw records, are shared with a coordinating server (McMahan et al., 2017). In parallel, explainable AI (XAI) methods such as SHAP (Lundberg and Lee, 2017) and LIME (Ribeiro, Singh and Guestrin, 2016) produce feature attributions that help stakeholders understand why a model predicted a given energy intensity. Emerging regulatory expectations — including transparency themes associated with the EU Artificial Intelligence Act (2024) — reinforce the need for explanations that remain meaningful when models are trained under privacy-preserving regimes. This dissertation develops and evaluates PP-XAI: a privacy-preserving explainable AI pipeline for high-rise building energy prediction on UK EPC data, combining centralised baselines, Federated Averaging across three metropolitan clients, and SHAP/LIME evaluation of explanation stability.</w:t>
      </w:r>
    </w:p>
    <w:p>
      <w:pPr>
        <w:pStyle w:val="Heading2"/>
        <w:spacing w:after="120" w:before="280"/>
      </w:pPr>
      <w:r>
        <w:rPr>
          <w:rFonts w:ascii="Times New Roman" w:cs="Times New Roman" w:eastAsia="Times New Roman" w:hAnsi="Times New Roman"/>
          <w:b/>
          <w:bCs/>
          <w:color w:val="1F3864"/>
          <w:sz w:val="26"/>
          <w:szCs w:val="26"/>
        </w:rPr>
        <w:t xml:space="preserve">1.2 Problem Statement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Despite extensive literature on building energy prediction and a growing body of FL applications, three gaps remain salient for UK high-rise EPC analytics. First, operational definitions of 'high-rise' in open EPC bulk exports do not always match documentary assumptions: storey-count thresholds of ten or more may yield essentially zero domestic records in national bulk extracts. This represents a significant data quality challenge that has not been systematically addressed in prior work. Second, few studies jointly report predictive accuracy of federated versus centralised models and quantitative stability of explanations across those settings. Third, stakeholder-facing prototypes that couple prediction with global and local explanations are rarely delivered alongside reproducible pipelines suitable for an MSc dissertation timeline.</w:t>
      </w:r>
    </w:p>
    <w:p>
      <w:pPr>
        <w:pStyle w:val="Heading2"/>
        <w:spacing w:after="120" w:before="280"/>
      </w:pPr>
      <w:r>
        <w:rPr>
          <w:rFonts w:ascii="Times New Roman" w:cs="Times New Roman" w:eastAsia="Times New Roman" w:hAnsi="Times New Roman"/>
          <w:b/>
          <w:bCs/>
          <w:color w:val="1F3864"/>
          <w:sz w:val="26"/>
          <w:szCs w:val="26"/>
        </w:rPr>
        <w:t xml:space="preserve">1.3 Aim and Objectives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aim of this dissertation is to develop and evaluate a privacy-preserving explainable AI framework that combines Federated Learning with SHAP and LIME for predicting high-rise building energy performance using UK EPC certificates.</w:t>
      </w:r>
    </w:p>
    <w:p>
      <w:pPr>
        <w:spacing w:after="6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specific objectives are:</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O1. </w:t>
      </w:r>
      <w:r>
        <w:rPr>
          <w:rFonts w:ascii="Times New Roman" w:cs="Times New Roman" w:eastAsia="Times New Roman" w:hAnsi="Times New Roman"/>
          <w:b w:val="false"/>
          <w:bCs w:val="false"/>
          <w:caps w:val="false"/>
          <w:color w:val="000000"/>
          <w:sz w:val="24"/>
          <w:szCs w:val="24"/>
        </w:rPr>
        <w:t xml:space="preserve">Implement centralised regression baselines (Random Forest, Gradient Boosting, XGBoost, LightGBM, MLP) for energy prediction on a filtered high-rise EPC corpus.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O2. </w:t>
      </w:r>
      <w:r>
        <w:rPr>
          <w:rFonts w:ascii="Times New Roman" w:cs="Times New Roman" w:eastAsia="Times New Roman" w:hAnsi="Times New Roman"/>
          <w:b w:val="false"/>
          <w:bCs w:val="false"/>
          <w:caps w:val="false"/>
          <w:color w:val="000000"/>
          <w:sz w:val="24"/>
          <w:szCs w:val="24"/>
        </w:rPr>
        <w:t xml:space="preserve">Implement Federated Averaging across geographic clients (London, Manchester, Birmingham) without pooling raw client CSVs during federated training rounds.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O3. </w:t>
      </w:r>
      <w:r>
        <w:rPr>
          <w:rFonts w:ascii="Times New Roman" w:cs="Times New Roman" w:eastAsia="Times New Roman" w:hAnsi="Times New Roman"/>
          <w:b w:val="false"/>
          <w:bCs w:val="false"/>
          <w:caps w:val="false"/>
          <w:color w:val="000000"/>
          <w:sz w:val="24"/>
          <w:szCs w:val="24"/>
        </w:rPr>
        <w:t xml:space="preserve">Integrate SHAP (global) and LIME (local) explanations for both centralised and federated models.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O4. </w:t>
      </w:r>
      <w:r>
        <w:rPr>
          <w:rFonts w:ascii="Times New Roman" w:cs="Times New Roman" w:eastAsia="Times New Roman" w:hAnsi="Times New Roman"/>
          <w:b w:val="false"/>
          <w:bCs w:val="false"/>
          <w:caps w:val="false"/>
          <w:color w:val="000000"/>
          <w:sz w:val="24"/>
          <w:szCs w:val="24"/>
        </w:rPr>
        <w:t xml:space="preserve">Compare predictive accuracy using RMSE, MAE, R², and MAPE, and compare explanation stability using Spearman correlation of mean absolute SHAP values.</w:t>
      </w:r>
    </w:p>
    <w:p>
      <w:pPr>
        <w:pStyle w:val="ListParagraph"/>
        <w:numPr>
          <w:ilvl w:val="0"/>
          <w:numId w:val="2"/>
        </w:numPr>
        <w:spacing w:after="160" w:before="0" w:line="360" w:lineRule="auto"/>
        <w:jc w:val="both"/>
      </w:pPr>
      <w:r>
        <w:rPr>
          <w:rFonts w:ascii="Times New Roman" w:cs="Times New Roman" w:eastAsia="Times New Roman" w:hAnsi="Times New Roman"/>
          <w:b/>
          <w:bCs/>
          <w:caps w:val="false"/>
          <w:color w:val="000000"/>
          <w:sz w:val="24"/>
          <w:szCs w:val="24"/>
        </w:rPr>
        <w:t xml:space="preserve">O5. </w:t>
      </w:r>
      <w:r>
        <w:rPr>
          <w:rFonts w:ascii="Times New Roman" w:cs="Times New Roman" w:eastAsia="Times New Roman" w:hAnsi="Times New Roman"/>
          <w:b w:val="false"/>
          <w:bCs w:val="false"/>
          <w:caps w:val="false"/>
          <w:color w:val="000000"/>
          <w:sz w:val="24"/>
          <w:szCs w:val="24"/>
        </w:rPr>
        <w:t xml:space="preserve">Deliver a Streamlit prototype for interactive prediction with reference to SHAP summaries and LIME local explanations.</w:t>
      </w:r>
    </w:p>
    <w:p>
      <w:pPr>
        <w:pStyle w:val="Heading2"/>
        <w:spacing w:after="120" w:before="280"/>
      </w:pPr>
      <w:r>
        <w:rPr>
          <w:rFonts w:ascii="Times New Roman" w:cs="Times New Roman" w:eastAsia="Times New Roman" w:hAnsi="Times New Roman"/>
          <w:b/>
          <w:bCs/>
          <w:color w:val="1F3864"/>
          <w:sz w:val="26"/>
          <w:szCs w:val="26"/>
        </w:rPr>
        <w:t xml:space="preserve">1.4 Research Questions</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RQ1: </w:t>
      </w:r>
      <w:r>
        <w:rPr>
          <w:rFonts w:ascii="Times New Roman" w:cs="Times New Roman" w:eastAsia="Times New Roman" w:hAnsi="Times New Roman"/>
          <w:b w:val="false"/>
          <w:bCs w:val="false"/>
          <w:caps w:val="false"/>
          <w:color w:val="000000"/>
          <w:sz w:val="24"/>
          <w:szCs w:val="24"/>
        </w:rPr>
        <w:t xml:space="preserve">Can Federated Learning approach centralised regression accuracy while keeping client data local?</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RQ2: </w:t>
      </w:r>
      <w:r>
        <w:rPr>
          <w:rFonts w:ascii="Times New Roman" w:cs="Times New Roman" w:eastAsia="Times New Roman" w:hAnsi="Times New Roman"/>
          <w:b w:val="false"/>
          <w:bCs w:val="false"/>
          <w:caps w:val="false"/>
          <w:color w:val="000000"/>
          <w:sz w:val="24"/>
          <w:szCs w:val="24"/>
        </w:rPr>
        <w:t xml:space="preserve">How do SHAP and LIME explanations from federated models compare in stability to those from centralised equivalents?</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RQ3: </w:t>
      </w:r>
      <w:r>
        <w:rPr>
          <w:rFonts w:ascii="Times New Roman" w:cs="Times New Roman" w:eastAsia="Times New Roman" w:hAnsi="Times New Roman"/>
          <w:b w:val="false"/>
          <w:bCs w:val="false"/>
          <w:caps w:val="false"/>
          <w:color w:val="000000"/>
          <w:sz w:val="24"/>
          <w:szCs w:val="24"/>
        </w:rPr>
        <w:t xml:space="preserve">Which building features most influence high-rise energy predictions, and how consistent are attributions across training regimes?</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RQ4: </w:t>
      </w:r>
      <w:r>
        <w:rPr>
          <w:rFonts w:ascii="Times New Roman" w:cs="Times New Roman" w:eastAsia="Times New Roman" w:hAnsi="Times New Roman"/>
          <w:b w:val="false"/>
          <w:bCs w:val="false"/>
          <w:caps w:val="false"/>
          <w:color w:val="000000"/>
          <w:sz w:val="24"/>
          <w:szCs w:val="24"/>
        </w:rPr>
        <w:t xml:space="preserve">How can federated XAI frameworks support transparency requirements for building energy assessment applications?</w:t>
      </w:r>
    </w:p>
    <w:p>
      <w:pPr>
        <w:pStyle w:val="Heading2"/>
        <w:spacing w:after="120" w:before="280"/>
      </w:pPr>
      <w:r>
        <w:rPr>
          <w:rFonts w:ascii="Times New Roman" w:cs="Times New Roman" w:eastAsia="Times New Roman" w:hAnsi="Times New Roman"/>
          <w:b/>
          <w:bCs/>
          <w:color w:val="1F3864"/>
          <w:sz w:val="26"/>
          <w:szCs w:val="26"/>
        </w:rPr>
        <w:t xml:space="preserve">1.5 Revised High-Rise Definition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empirical scope is restricted to England and Wales EPC certificates lodged approximately 2018–2026, mapped to three federated clients corresponding to Greater London boroughs, Greater Manchester authorities, and West Midlands authorities centred on Birmingham. An empirical audit of bulk exports was fundamental to this research and revealed a critical data quality issue.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Domestic (Scenario 1A, revised): Flats in client local authorities with flat_storey_count ≥ 5. An audit of bulk exports showed that flat_storey_count ≥ 10 yields essentially zero rows (2024 domestic maximum observed ≈ 8), and floor_level in the bulk schema is limited to low integer bands rather than true storey numbers. The ≥5 threshold is therefore an honest mid/high-rise proxy, documented transparently as a limitation. This audit finding is itself a contribution of the dissertation.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Non-domestic (Scenario 1B): Buildings with floor_area ≥ 5,000 m², retaining office, hotel, retail, mixed, and industrial-like types while excluding schools, hospitals, places of worship, sports centres, and related institutional categories whose operational schedules would confound high-rise commercial modelling. The modelling target is primary_energy_value (bulk non-domestic schema field).</w:t>
      </w:r>
    </w:p>
    <w:p>
      <w:pPr>
        <w:pStyle w:val="Heading2"/>
        <w:spacing w:after="120" w:before="280"/>
      </w:pPr>
      <w:r>
        <w:rPr>
          <w:rFonts w:ascii="Times New Roman" w:cs="Times New Roman" w:eastAsia="Times New Roman" w:hAnsi="Times New Roman"/>
          <w:b/>
          <w:bCs/>
          <w:color w:val="1F3864"/>
          <w:sz w:val="26"/>
          <w:szCs w:val="26"/>
        </w:rPr>
        <w:t xml:space="preserve">1.6 Research Contributions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makes the following original contributions: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An empirically grounded high-rise filtering strategy for UK EPC bulk CSVs, including schema corrections and audit documentation of storey field limitations.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 reproducible Python pipeline comparing centralised ensembles and neural networks with FedAvg MLP across three city clients.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Quantitative evidence of high SHAP rank stability (Spearman ρ ≈ 0.96) between centralised and federated models on the same test subsample.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 Streamlit demonstration artefact supporting stakeholder communication and viva examination.</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Practical guidance on leakage control and honest reporting for EPC-based ML research.</w:t>
      </w:r>
    </w:p>
    <w:p>
      <w:pPr>
        <w:spacing w:after="100" w:before="0"/>
      </w:pPr>
    </w:p>
    <w:p>
      <w:pPr>
        <w:pStyle w:val="Heading2"/>
        <w:spacing w:after="120" w:before="280"/>
      </w:pPr>
      <w:r>
        <w:rPr>
          <w:rFonts w:ascii="Times New Roman" w:cs="Times New Roman" w:eastAsia="Times New Roman" w:hAnsi="Times New Roman"/>
          <w:b/>
          <w:bCs/>
          <w:color w:val="1F3864"/>
          <w:sz w:val="26"/>
          <w:szCs w:val="26"/>
        </w:rPr>
        <w:t xml:space="preserve">1.7 Dissertation Structure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Chapter 2 reviews building energy prediction, federated learning, XAI, and privacy and regulation literature, culminating in the research gap. Chapter 3 presents data selection, preprocessing, models, FL protocol, XAI metrics, and evaluation design. Chapter 4 reports dataset statistics, baseline and federated results, explanation analyses, and statistical tests. Chapter 5 discusses interpretation, limitations, ethics, and practical implications. Chapter 6 concludes and outlines future work. Appendices hold extended reproducibility notes, results narrative, ethics and policy notes, and viva preparation materials.</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2 — Literature Review</w:t>
      </w:r>
    </w:p>
    <w:p>
      <w:pPr>
        <w:pStyle w:val="Heading2"/>
        <w:spacing w:after="120" w:before="280"/>
      </w:pPr>
      <w:r>
        <w:rPr>
          <w:rFonts w:ascii="Times New Roman" w:cs="Times New Roman" w:eastAsia="Times New Roman" w:hAnsi="Times New Roman"/>
          <w:b/>
          <w:bCs/>
          <w:color w:val="1F3864"/>
          <w:sz w:val="26"/>
          <w:szCs w:val="26"/>
        </w:rPr>
        <w:t xml:space="preserve">2.1 Building Energy Performance and EPC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Building energy prediction research spans physics-based simulation, statistical regression, and modern machine learning. Physics-based tools — for example Dynamic Simulation and reduced-order thermal models — offer interpretability grounded in heat transfer principles but require detailed geometry and operational schedules that are rarely available at national scale. Data-driven approaches instead learn mappings from observable building descriptors to energy intensity or demand. Ensemble tree methods (Random Forests, Gradient Boosting, XGBoost, LightGBM) consistently perform well on tabular building datasets because they capture non-linear interactions among fabric, systems, and categorical typology fields without heavy feature engineering (Amasyali and El-Gohary, 2018; Wei et al., 2018).</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UK EPCs provide standardised fields for ratings, modelled consumption, construction descriptions, and heating fuels under the Open Government Licence. Prior studies use EPCs for stock characterisation, fuel poverty proxies, retrofit targeting, and rating prediction. Fewer works isolate high-rise typologies with explicit storey or floor-area filters, and fewer still confront the mismatch between documentary high-rise thresholds and bulk export field quality. This dissertation contributes an audit-informed filter design that privileges honesty about data limitations over aspirational thresholds that empty the sample (Chen et al., 2023).</w:t>
      </w:r>
    </w:p>
    <w:p>
      <w:pPr>
        <w:pStyle w:val="Heading2"/>
        <w:spacing w:after="120" w:before="280"/>
      </w:pPr>
      <w:r>
        <w:rPr>
          <w:rFonts w:ascii="Times New Roman" w:cs="Times New Roman" w:eastAsia="Times New Roman" w:hAnsi="Times New Roman"/>
          <w:b/>
          <w:bCs/>
          <w:color w:val="1F3864"/>
          <w:sz w:val="26"/>
          <w:szCs w:val="26"/>
        </w:rPr>
        <w:t xml:space="preserve">2.2 Privacy-Preserving Learning for Built-Environment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Energy and building datasets can be sensitive even when released under open licences: address-level linkages, small-area inference, and commercial HVAC configurations create residual risks. Privacy-preserving machine learning encompasses anonymisation, differential privacy, secure multiparty computation, and federated learning. FL is attractive when multiple organisations each hold locally rich but non-shareable tables — precisely the situation of local authorities and portfolio managers holding EPC-related or meter-linked datasets.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FedAvg (McMahan et al., 2017) iteratively averages client model parameters weighted by local dataset size. Under non-IID (non-identically distributed) client distributions, client drift can degrade convergence; FedProx and related methods add proximal regularisation to mitigate this (Li et al., 2020). Flower (Beutel et al., 2020) provides an engineering framework for simulating and deploying FL across diverse client environments. Applications in smart grids, healthcare, and IoT are well established; building-sector FL remains comparatively sparse, and coupling FL with formal XAI evaluation is rarer still. This gap motivates the present work.</w:t>
      </w:r>
    </w:p>
    <w:p>
      <w:pPr>
        <w:pStyle w:val="Heading2"/>
        <w:spacing w:after="120" w:before="280"/>
      </w:pPr>
      <w:r>
        <w:rPr>
          <w:rFonts w:ascii="Times New Roman" w:cs="Times New Roman" w:eastAsia="Times New Roman" w:hAnsi="Times New Roman"/>
          <w:b/>
          <w:bCs/>
          <w:color w:val="1F3864"/>
          <w:sz w:val="26"/>
          <w:szCs w:val="26"/>
        </w:rPr>
        <w:t xml:space="preserve">2.3 Explainable AI for Regression on Tabular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Global explanations summarise which features drive predictions across a dataset; local explanations justify individual instances (Molnar, 2022). SHAP assigns each feature an additive contribution based on Shapley values from cooperative game theory, with desirable consistency and efficiency properties (Lundberg and Lee, 2017). TreeExplainer computes exact SHAP values efficiently for tree ensembles; KernelExplainer approximates SHAP for arbitrary models at higher computational cost. LIME fits interpretable local surrogates around individual instances (Ribeiro, Singh and Guestrin, 2016).</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Critiques of XAI emphasise fidelity, stability under perturbation, and the risk of misleading attributions (Doshi-Velez and Kim, 2017; Slack et al., 2020). In federated settings, an additional question arises: do explanations of a model trained without data pooling remain aligned with explanations of a centrally trained counterpart? This dissertation operationalises that question via Spearman correlation of mean absolute SHAP profiles — providing, to the author's knowledge, one of the first quantitative assessments of explanation stability under geographic federated partitioning for building energy data.</w:t>
      </w:r>
    </w:p>
    <w:p>
      <w:pPr>
        <w:pStyle w:val="Heading2"/>
        <w:spacing w:after="120" w:before="280"/>
      </w:pPr>
      <w:r>
        <w:rPr>
          <w:rFonts w:ascii="Times New Roman" w:cs="Times New Roman" w:eastAsia="Times New Roman" w:hAnsi="Times New Roman"/>
          <w:b/>
          <w:bCs/>
          <w:color w:val="1F3864"/>
          <w:sz w:val="26"/>
          <w:szCs w:val="26"/>
        </w:rPr>
        <w:t xml:space="preserve">2.4 Regulatory Context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GDPR constrains processing of personal data and influences how household energy information may be shared across organisational boundaries. Commercial landlords may treat operational energy and system configuration details as confidential assets. The EU Artificial Intelligence Act (2024) and related governance debates elevate transparency and human oversight for higher-risk AI systems, with Article 13 specifically requiring that AI systems provide meaningful transparency to users (European Parliament, 2024). Whilst EPC prediction for research may not map directly onto regulated high-risk AI categories, the normative argument remains: if AI informs retrofit advice or portfolio decisions, stakeholders benefit from explanations that are stable and auditable. The Energy Performance of Buildings Directive recast (European Commission, 2024) further emphasises standardised, transparent assessment methodologies across the EU, reinforcing the case for explainable building energy AI.</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PP-XAI therefore treats FL and XAI as complementary pillars of trustworthy analytics rather than optional extras. Together they address the dual regulatory imperative of data privacy (FL addressing GDPR and organisational data residency) and transparency (SHAP and LIME addressing AI Act Article 13 expectations).</w:t>
      </w:r>
    </w:p>
    <w:p>
      <w:pPr>
        <w:pStyle w:val="Heading2"/>
        <w:spacing w:after="120" w:before="280"/>
      </w:pPr>
      <w:r>
        <w:rPr>
          <w:rFonts w:ascii="Times New Roman" w:cs="Times New Roman" w:eastAsia="Times New Roman" w:hAnsi="Times New Roman"/>
          <w:b/>
          <w:bCs/>
          <w:color w:val="1F3864"/>
          <w:sz w:val="26"/>
          <w:szCs w:val="26"/>
        </w:rPr>
        <w:t xml:space="preserve">2.5 Tabular Learning for Energy Intensity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Cross-sectional prediction of energy intensity differs from short-term load forecasting: the former emphasises static building descriptors; the latter emphasises calendars, weather, and autoregression. EPC modelling belongs to the former category. Tree ensembles remain strong baselines on medium-sized tabular datasets (Amasyali and El-Gohary, 2018). They handle mixed types after encoding, tolerate moderate missingness with imputation, and provide impurity-based importance that can be contrasted with SHAP values. Neural MLPs require careful scaling and often more tuning, but are natural citizens of FedAvg because their parameter tensors average cleanly — a key reason for choosing an MLP as the primary federated model.</w:t>
      </w:r>
    </w:p>
    <w:p>
      <w:pPr>
        <w:pStyle w:val="Heading2"/>
        <w:spacing w:after="120" w:before="280"/>
      </w:pPr>
      <w:r>
        <w:rPr>
          <w:rFonts w:ascii="Times New Roman" w:cs="Times New Roman" w:eastAsia="Times New Roman" w:hAnsi="Times New Roman"/>
          <w:b/>
          <w:bCs/>
          <w:color w:val="1F3864"/>
          <w:sz w:val="26"/>
          <w:szCs w:val="26"/>
        </w:rPr>
        <w:t xml:space="preserve">2.6 Related Work Synthesis and Research Gap</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Synthesising the above: (i) tabular ML on EPCs is mature for centralised prediction; (ii) FL is theoretically and practically ready for multi-organisation building data; (iii) SHAP and LIME are established for tabular regression; (iv) integrated evaluation of accuracy and explanation stability for UK high-rise EPC FL is absent from the literature. No identified study simultaneously revises high-rise filters against bulk schema reality, compares centralised ensembles with FedAvg on London, Manchester, and Birmingham partitions, and reports Spearman stability of SHAP rankings across those regimes.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Research Area</w:t>
            </w:r>
          </w:p>
        </w:tc>
        <w:tc>
          <w:tcPr>
            <w:tcW w:type="dxa" w:w="31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Existing Work</w:t>
            </w:r>
          </w:p>
        </w:tc>
        <w:tc>
          <w:tcPr>
            <w:tcW w:type="dxa" w:w="31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PP-XAI Contribution</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High-rise EPC filtering</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Aspirational thresholds; no audit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Schema audit; revised ≥5 proxy documented</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EPC ML</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Extensive (Chen et al., 2023; Wei et al., 2018)</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Replicated with leakage control</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for building energy</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Smart meters; no EPC</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First FL on UK EPC high-rise partitions</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XAI for building energy</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only (Molnar, 2022)</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SHAP/LIME stability under FL evaluated</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 XAI joint evaluation</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None identified in built environment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Spearman ρ stability metric introduced</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2.1: Research gap analysis — existing work versus PP-XAI contribution</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Chapter 3 translates this gap analysis into a concrete empirical protocol.</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3 — Methodology</w:t>
      </w:r>
    </w:p>
    <w:p>
      <w:pPr>
        <w:pStyle w:val="Heading2"/>
        <w:spacing w:after="120" w:before="280"/>
      </w:pPr>
      <w:r>
        <w:rPr>
          <w:rFonts w:ascii="Times New Roman" w:cs="Times New Roman" w:eastAsia="Times New Roman" w:hAnsi="Times New Roman"/>
          <w:b/>
          <w:bCs/>
          <w:color w:val="1F3864"/>
          <w:sz w:val="26"/>
          <w:szCs w:val="26"/>
        </w:rPr>
        <w:t xml:space="preserve">3.1 Research Design Overview</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study employs a comparative experimental design. A single filtered EPC corpus is (a) trained centrally with multiple regressors and (b) trained federatively with an MLP under FedAvg across three geographic clients. Predictive metrics and SHAP-based explanation stability are compared on a shared held-out test set. A Streamlit prototype demonstrates stakeholder-facing use. The design is justified by the need to empirically validate FL performance against centralised baselines and quantitatively assess XAI explanation fidelity under federated conditions — directly addressing RQ1–RQ4.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research paradigm is positivist and quantitative: propositions (hypotheses H1–H4) are tested with numerical metrics and statistical tests. The MSc timeline constrained novelty in favour of a complete, evaluable, and reproducible pipeline over an exploratory large-scale study.</w:t>
      </w:r>
    </w:p>
    <w:p>
      <w:pPr>
        <w:pStyle w:val="Heading2"/>
        <w:spacing w:after="120" w:before="280"/>
      </w:pPr>
      <w:r>
        <w:rPr>
          <w:rFonts w:ascii="Times New Roman" w:cs="Times New Roman" w:eastAsia="Times New Roman" w:hAnsi="Times New Roman"/>
          <w:b/>
          <w:bCs/>
          <w:color w:val="1F3864"/>
          <w:sz w:val="26"/>
          <w:szCs w:val="26"/>
        </w:rPr>
        <w:t xml:space="preserve">3.2 Data Sources and Licensing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Primary data are UK EPC bulk certificate CSVs for domestic and non-domestic buildings, published under Open Government Licence v3.0 via the Ministry of Housing, Communities and Local Government EPC portal. Certificate years 2018–2026 were scanned in chunked mode to manage memory constraints (domestic national files exceed several gigabytes per year). Recommendations CSVs were not used; prediction targets and modelling features reside on certificates only.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Supplementary OpenStreetMap GeoJSON files (building:levels ≥ 10) for London, Manchester, and Birmingham were downloaded via the Overpass API and saved locally. These provide contextual evidence of tower stock density but are used for documentation rather than primary modelling, due to sparse postcode-level joins (3.9% match rate).</w:t>
      </w:r>
    </w:p>
    <w:p>
      <w:pPr>
        <w:pStyle w:val="Heading2"/>
        <w:spacing w:after="120" w:before="280"/>
      </w:pPr>
      <w:r>
        <w:rPr>
          <w:rFonts w:ascii="Times New Roman" w:cs="Times New Roman" w:eastAsia="Times New Roman" w:hAnsi="Times New Roman"/>
          <w:b/>
          <w:bCs/>
          <w:color w:val="1F3864"/>
          <w:sz w:val="26"/>
          <w:szCs w:val="26"/>
        </w:rPr>
        <w:t xml:space="preserve">3.3 High-Rise Filtering Strategy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critical methodological contribution of this dissertation is the empirical audit of EPC bulk export schemas prior to modelling. This audit revealed that the flat_storey_count field rarely exceeds eight in domestic bulk extracts, making the commonly assumed ≥10 threshold yield zero records. The floor_level field is similarly limited to low integer band values. The revised filters are: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Typology</w:t>
            </w:r>
          </w:p>
        </w:tc>
        <w:tc>
          <w:tcPr>
            <w:tcW w:type="dxa" w:w="3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Inclusion Rules</w:t>
            </w:r>
          </w:p>
        </w:tc>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Target Variable</w:t>
            </w:r>
          </w:p>
        </w:tc>
        <w:tc>
          <w:tcPr>
            <w:tcW w:type="dxa" w:w="1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Rationale</w:t>
            </w:r>
          </w:p>
        </w:tc>
      </w:tr>
      <w:tr>
        <w:tc>
          <w:tcPr>
            <w:tcW w:type="dxa" w:w="2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Domestic (1A)</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property_type = Flat; flat_storey_count ≥ 5; client LA membership</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energy_consumption_current</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Honest mid/high-rise proxy</w:t>
            </w:r>
          </w:p>
        </w:tc>
      </w:tr>
      <w:tr>
        <w:tc>
          <w:tcPr>
            <w:tcW w:type="dxa" w:w="2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Non-domestic (1B)</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floor_area ≥ 5,000 m²; exclude schools, hospitals, worship, sports; client LA membership</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primary_energy_value</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high-rise proxy</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3.1: High-rise filtering strategy and target variable selection</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Features deliberately exclude CO₂ intensity and asset/environment rating scores that were found to correlate near-perfectly with the energy target, causing target leakage and inflating apparent R² to above 0.95. Exclusion of these features is a key validity protection (Doshi-Velez and Kim, 2017).</w:t>
      </w:r>
    </w:p>
    <w:p>
      <w:pPr>
        <w:pStyle w:val="Heading2"/>
        <w:spacing w:after="120" w:before="280"/>
      </w:pPr>
      <w:r>
        <w:rPr>
          <w:rFonts w:ascii="Times New Roman" w:cs="Times New Roman" w:eastAsia="Times New Roman" w:hAnsi="Times New Roman"/>
          <w:b/>
          <w:bCs/>
          <w:color w:val="1F3864"/>
          <w:sz w:val="26"/>
          <w:szCs w:val="26"/>
        </w:rPr>
        <w:t xml:space="preserve">3.4 Preprocessing Pipeline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EPCPreprocessor class in src/data/preprocessor.py applies the following pipeline: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Frame preparation and target outlier clipping at the 1st–99th percentile range to remove extreme values.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Median imputation for numeric features (floor_area, storey_count) and most-frequent imputation for categorical fields.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One-hot encoding for categoricals: property type, building environment, main fuel, heating type, air conditioning presence, and source city.</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Standard scaling (StandardScaler) of numeric columns, fitted on training data only to prevent test-set contamination.</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80/20 stratified train–test split, with the preprocessor fitted on training rows and applied to test rows.</w:t>
      </w:r>
    </w:p>
    <w:p>
      <w:pPr>
        <w:spacing w:after="6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fitted ColumnTransformer is persisted to data/processed/preprocessor.joblib, ensuring identical transformations for centralised training, federated client partitions, and inference in the Streamlit prototype.</w:t>
      </w:r>
    </w:p>
    <w:p>
      <w:pPr>
        <w:pStyle w:val="Heading2"/>
        <w:spacing w:after="120" w:before="280"/>
      </w:pPr>
      <w:r>
        <w:rPr>
          <w:rFonts w:ascii="Times New Roman" w:cs="Times New Roman" w:eastAsia="Times New Roman" w:hAnsi="Times New Roman"/>
          <w:b/>
          <w:bCs/>
          <w:color w:val="1F3864"/>
          <w:sz w:val="26"/>
          <w:szCs w:val="26"/>
        </w:rPr>
        <w:t xml:space="preserve">3.5 Federated Partitioning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To simulate realistic FL conditions, the filtered corpus is partitioned geographically by source_city, creating three non-IID client datasets. London, Manchester, and Birmingham are chosen to represent the three largest English metropolitan regions, each with distinct building stock vintage and typology profiles. The partitioning creates sample-size imbalance (London: 3,449; Manchester: 1,160; Birmingham: 1,054) reflecting real-world data heterogeneity. Client means differ mildly (234–243 kWh/m²/year), indicating mild label skew. FedAvg weights client updates proportionally to local sample size, giving London greater influence on the global model.</w:t>
      </w:r>
    </w:p>
    <w:p>
      <w:pPr>
        <w:pStyle w:val="Heading2"/>
        <w:spacing w:after="120" w:before="280"/>
      </w:pPr>
      <w:r>
        <w:rPr>
          <w:rFonts w:ascii="Times New Roman" w:cs="Times New Roman" w:eastAsia="Times New Roman" w:hAnsi="Times New Roman"/>
          <w:b/>
          <w:bCs/>
          <w:color w:val="1F3864"/>
          <w:sz w:val="26"/>
          <w:szCs w:val="26"/>
        </w:rPr>
        <w:t xml:space="preserve">3.6 Centralised Baseline Models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Five regression models are implemented in src/models/centralised_models.py as centralised baselines: Random Forest Regressor (200 estimators), Gradient Boosting (sklearn), XGBoost (lightly tuned), LightGBM (single-threaded for macOS stability), and MLPRegressor (128–64 hidden units, early stopping). Evaluation metrics are RMSE, MAE, R², and MAPE on the 20% held-out test set. The best-performing model by RMSE is designated for primary SHAP comparison.</w:t>
      </w:r>
    </w:p>
    <w:p>
      <w:pPr>
        <w:pStyle w:val="Heading2"/>
        <w:spacing w:after="120" w:before="280"/>
      </w:pPr>
      <w:r>
        <w:rPr>
          <w:rFonts w:ascii="Times New Roman" w:cs="Times New Roman" w:eastAsia="Times New Roman" w:hAnsi="Times New Roman"/>
          <w:b/>
          <w:bCs/>
          <w:color w:val="1F3864"/>
          <w:sz w:val="26"/>
          <w:szCs w:val="26"/>
        </w:rPr>
        <w:t xml:space="preserve">3.7 Federated Learning Protocol</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An energy MLP (EnergyMLP in src/federated/fl_client.py) is trained with an in-process FedAvg simulator for eight rounds and four local epochs per round, using Adam optimiser and MSE loss. Client updates are averaged with weights proportional to local sample sizes. The in-process simulator is chosen for reproducibility on a single machine, avoiding network complexity whilst correctly implementing the FedAvg aggregation logic. FedProx (Li et al., 2020) with μ = 0.01 is also implemented and convergence results are documented. The Flower framework (Beutel et al., 2020) provides the client–server abstractions.</w:t>
      </w:r>
    </w:p>
    <w:p>
      <w:pPr>
        <w:pStyle w:val="Heading2"/>
        <w:spacing w:after="120" w:before="280"/>
      </w:pPr>
      <w:r>
        <w:rPr>
          <w:rFonts w:ascii="Times New Roman" w:cs="Times New Roman" w:eastAsia="Times New Roman" w:hAnsi="Times New Roman"/>
          <w:b/>
          <w:bCs/>
          <w:color w:val="1F3864"/>
          <w:sz w:val="26"/>
          <w:szCs w:val="26"/>
        </w:rPr>
        <w:t xml:space="preserve">3.8 Explainability Protocol</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On a shared subsample (background ≈ 80 training rows; explain ≈ 60 test rows), SHAP KernelExplainer is applied to both the best centralised model and the federated MLP. Using the same explainer family on both models reduces confounding from explainer choice and enables a fair comparison of mean absolute SHAP value profiles. LIME tabular explanations are generated for three representative test instances per model. Explanation stability is quantified as:</w:t>
      </w:r>
    </w:p>
    <w:p>
      <w:pPr>
        <w:spacing w:after="60" w:before="0"/>
      </w:pPr>
    </w:p>
    <w:p>
      <w:pPr>
        <w:spacing w:after="100" w:before="0" w:line="360" w:lineRule="auto"/>
        <w:jc w:val="both"/>
      </w:pPr>
      <w:r>
        <w:rPr>
          <w:rFonts w:ascii="Times New Roman" w:cs="Times New Roman" w:eastAsia="Times New Roman" w:hAnsi="Times New Roman"/>
          <w:b/>
          <w:bCs/>
          <w:caps w:val="false"/>
          <w:color w:val="000000"/>
          <w:sz w:val="24"/>
          <w:szCs w:val="24"/>
        </w:rPr>
        <w:t xml:space="preserve">Spearman Rank Correlation (ρ):</w:t>
      </w:r>
      <w:r>
        <w:rPr>
          <w:rFonts w:ascii="Times New Roman" w:cs="Times New Roman" w:eastAsia="Times New Roman" w:hAnsi="Times New Roman"/>
          <w:b w:val="false"/>
          <w:bCs w:val="false"/>
          <w:caps w:val="false"/>
          <w:color w:val="000000"/>
          <w:sz w:val="24"/>
          <w:szCs w:val="24"/>
        </w:rPr>
        <w:t xml:space="preserve"> Correlation between ranked mean |SHAP| profiles of centralised and federated models. Target: ρ &gt; 0.85. A high ρ indicates feature importance rankings are similarly ordered across training regimes.</w:t>
      </w:r>
    </w:p>
    <w:p>
      <w:pPr>
        <w:pStyle w:val="Heading2"/>
        <w:spacing w:after="120" w:before="280"/>
      </w:pPr>
      <w:r>
        <w:rPr>
          <w:rFonts w:ascii="Times New Roman" w:cs="Times New Roman" w:eastAsia="Times New Roman" w:hAnsi="Times New Roman"/>
          <w:b/>
          <w:bCs/>
          <w:color w:val="1F3864"/>
          <w:sz w:val="26"/>
          <w:szCs w:val="26"/>
        </w:rPr>
        <w:t xml:space="preserve">3.9 Statistical Testing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Paired Wilcoxon signed-rank test and paired t-test compare absolute errors of the best centralised model versus the federated MLP on the identical test set. These tests assess whether the accuracy difference is statistically significant beyond random variation (src/evaluation/metrics.py). Effect size (Cohen's d) is also computed to complement p-values.</w:t>
      </w:r>
    </w:p>
    <w:p>
      <w:pPr>
        <w:pStyle w:val="Heading2"/>
        <w:spacing w:after="120" w:before="280"/>
      </w:pPr>
      <w:r>
        <w:rPr>
          <w:rFonts w:ascii="Times New Roman" w:cs="Times New Roman" w:eastAsia="Times New Roman" w:hAnsi="Times New Roman"/>
          <w:b/>
          <w:bCs/>
          <w:color w:val="1F3864"/>
          <w:sz w:val="26"/>
          <w:szCs w:val="26"/>
        </w:rPr>
        <w:t xml:space="preserve">3.10 Ethical Considerations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Only open EPC certificate fields and OSM building tags were used in this research. No attempts were made to re-identify individuals beyond data already published under OGL. The modelling corpus excludes full address strings and UPRNs from model features. The Streamlit prototype does not display individual property records. Ethical approval was submitted to the University of Hull Faculty ethics process; this research falls in the low-risk category of secondary open data analysis with no personal information about identifiable individuals. Full ethics documentation is provided in Appendix C.</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4 — Results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All numeric results correspond to pipeline artefacts in results/tables/ and results/figures/ from the final successful run. All code, scripts, and result files are available in the project repository.</w:t>
      </w:r>
    </w:p>
    <w:p>
      <w:pPr>
        <w:pStyle w:val="Heading2"/>
        <w:spacing w:after="120" w:before="280"/>
      </w:pPr>
      <w:r>
        <w:rPr>
          <w:rFonts w:ascii="Times New Roman" w:cs="Times New Roman" w:eastAsia="Times New Roman" w:hAnsi="Times New Roman"/>
          <w:b/>
          <w:bCs/>
          <w:color w:val="1F3864"/>
          <w:sz w:val="26"/>
          <w:szCs w:val="26"/>
        </w:rPr>
        <w:t xml:space="preserve">4.1 Dataset Construction Outcomes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Chunked scanning processed 13,794,680 domestic and 840,760 non-domestic certificate rows spanning 2018–2026. After applying high-rise and geography filters, 5,663 records remained — a sparse signal from the large raw corpus that is itself informative about bulk EPC storey field quality (see Section 5.3 for discussion). Table 4.1 summarises the dataset composition.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Federated Client</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Records (n)</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Mean Energy (kWh/m²/yr)</w:t>
            </w:r>
          </w:p>
        </w:tc>
        <w:tc>
          <w:tcPr>
            <w:tcW w:type="dxa" w:w="2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Typology Mix</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London</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3,449</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234.0</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99.4%, Residential 0.6%</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Manchester</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1,160</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242.1</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99.4%, Residential 0.6%</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Birmingham</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1,054</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243.1</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99.3%, Residential 0.7%</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Combined</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5,663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237.4 (σ=194.7)</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Commercial 99.4%, Residential 0.6%</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4.1: Dataset partition statistics after high-rise and geographic filtering</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Preprocessing yielded 4,439 training and 1,110 test samples with 87 one-hot-expanded features after encoding. The 99.4% commercial composition reflects the sparsity of domestic storey metadata in bulk EPC exports — a key finding discussed in Chapter 5.</w:t>
      </w:r>
    </w:p>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eda_target_hist.png"/>
                    <pic:cNvPicPr/>
                  </pic:nvPicPr>
                  <pic:blipFill>
                    <a:blip r:embed="rId12"/>
                    <a:stretch>
                      <a:fillRect/>
                    </a:stretch>
                  </pic:blipFill>
                  <pic:spPr>
                    <a:xfrm>
                      <a:off x="0" y="0"/>
                      <a:ext cx="4320000" cy="2160000"/>
                    </a:xfrm>
                    <a:prstGeom prst="rect"/>
                  </pic:spPr>
                </pic:pic>
              </a:graphicData>
            </a:graphic>
          </wp:inline>
        </w:drawing>
      </w:r>
    </w:p>
    <w:p>
      <w:pPr>
        <w:pStyle w:val="Caption"/>
        <w:jc w:val="center"/>
      </w:pPr>
      <w:r>
        <w:rPr>
          <w:rFonts w:ascii="Times New Roman" w:hAnsi="Times New Roman" w:eastAsia="Times New Roman"/>
          <w:b w:val="0"/>
          <w:i/>
          <w:sz w:val="20"/>
        </w:rPr>
        <w:t>Figure 4.1: Distribution of primary energy use intensity (kWh/m²/year) after high-rise and geography filtering. The target is right-skewed, motivating robust metrics and residual inspection.</w:t>
      </w:r>
    </w:p>
    <w:p/>
    <w:p>
      <w:pPr>
        <w:jc w:val="center"/>
      </w:pPr>
      <w:r>
        <w:drawing>
          <wp:inline xmlns:a="http://schemas.openxmlformats.org/drawingml/2006/main" xmlns:pic="http://schemas.openxmlformats.org/drawingml/2006/picture">
            <wp:extent cx="4320000" cy="2880000"/>
            <wp:docPr id="3" name="Picture 3"/>
            <wp:cNvGraphicFramePr>
              <a:graphicFrameLocks noChangeAspect="1"/>
            </wp:cNvGraphicFramePr>
            <a:graphic>
              <a:graphicData uri="http://schemas.openxmlformats.org/drawingml/2006/picture">
                <pic:pic>
                  <pic:nvPicPr>
                    <pic:cNvPr id="0" name="eda_city_counts.png"/>
                    <pic:cNvPicPr/>
                  </pic:nvPicPr>
                  <pic:blipFill>
                    <a:blip r:embed="rId13"/>
                    <a:stretch>
                      <a:fillRect/>
                    </a:stretch>
                  </pic:blipFill>
                  <pic:spPr>
                    <a:xfrm>
                      <a:off x="0" y="0"/>
                      <a:ext cx="4320000" cy="2880000"/>
                    </a:xfrm>
                    <a:prstGeom prst="rect"/>
                  </pic:spPr>
                </pic:pic>
              </a:graphicData>
            </a:graphic>
          </wp:inline>
        </w:drawing>
      </w:r>
    </w:p>
    <w:p>
      <w:pPr>
        <w:pStyle w:val="Caption"/>
        <w:jc w:val="center"/>
      </w:pPr>
      <w:r>
        <w:rPr>
          <w:rFonts w:ascii="Times New Roman" w:hAnsi="Times New Roman" w:eastAsia="Times New Roman"/>
          <w:b w:val="0"/>
          <w:i/>
          <w:sz w:val="20"/>
        </w:rPr>
        <w:t>Figure 4.2: Sample counts by client city. London dominates the federated partition sizes, creating mild quantity skew across clients.</w:t>
      </w:r>
    </w:p>
    <w:p/>
    <w:p>
      <w:pPr>
        <w:jc w:val="center"/>
      </w:pPr>
      <w:r>
        <w:drawing>
          <wp:inline xmlns:a="http://schemas.openxmlformats.org/drawingml/2006/main" xmlns:pic="http://schemas.openxmlformats.org/drawingml/2006/picture">
            <wp:extent cx="4320000" cy="2468571"/>
            <wp:docPr id="4" name="Picture 4"/>
            <wp:cNvGraphicFramePr>
              <a:graphicFrameLocks noChangeAspect="1"/>
            </wp:cNvGraphicFramePr>
            <a:graphic>
              <a:graphicData uri="http://schemas.openxmlformats.org/drawingml/2006/picture">
                <pic:pic>
                  <pic:nvPicPr>
                    <pic:cNvPr id="0" name="eda_energy_by_city.png"/>
                    <pic:cNvPicPr/>
                  </pic:nvPicPr>
                  <pic:blipFill>
                    <a:blip r:embed="rId14"/>
                    <a:stretch>
                      <a:fillRect/>
                    </a:stretch>
                  </pic:blipFill>
                  <pic:spPr>
                    <a:xfrm>
                      <a:off x="0" y="0"/>
                      <a:ext cx="4320000" cy="2468571"/>
                    </a:xfrm>
                    <a:prstGeom prst="rect"/>
                  </pic:spPr>
                </pic:pic>
              </a:graphicData>
            </a:graphic>
          </wp:inline>
        </w:drawing>
      </w:r>
    </w:p>
    <w:p>
      <w:pPr>
        <w:pStyle w:val="Caption"/>
        <w:jc w:val="center"/>
      </w:pPr>
      <w:r>
        <w:rPr>
          <w:rFonts w:ascii="Times New Roman" w:hAnsi="Times New Roman" w:eastAsia="Times New Roman"/>
          <w:b w:val="0"/>
          <w:i/>
          <w:sz w:val="20"/>
        </w:rPr>
        <w:t>Figure 4.3: Mean primary energy intensity by city. City means are similar (non-IID ratio ≈ 1.04), indicating mild label heterogeneity.</w:t>
      </w:r>
    </w:p>
    <w:p/>
    <w:p>
      <w:pPr>
        <w:jc w:val="center"/>
      </w:pPr>
      <w:r>
        <w:drawing>
          <wp:inline xmlns:a="http://schemas.openxmlformats.org/drawingml/2006/main" xmlns:pic="http://schemas.openxmlformats.org/drawingml/2006/picture">
            <wp:extent cx="4320000" cy="2468571"/>
            <wp:docPr id="5" name="Picture 5"/>
            <wp:cNvGraphicFramePr>
              <a:graphicFrameLocks noChangeAspect="1"/>
            </wp:cNvGraphicFramePr>
            <a:graphic>
              <a:graphicData uri="http://schemas.openxmlformats.org/drawingml/2006/picture">
                <pic:pic>
                  <pic:nvPicPr>
                    <pic:cNvPr id="0" name="eda_area_vs_energy.png"/>
                    <pic:cNvPicPr/>
                  </pic:nvPicPr>
                  <pic:blipFill>
                    <a:blip r:embed="rId15"/>
                    <a:stretch>
                      <a:fillRect/>
                    </a:stretch>
                  </pic:blipFill>
                  <pic:spPr>
                    <a:xfrm>
                      <a:off x="0" y="0"/>
                      <a:ext cx="4320000" cy="2468571"/>
                    </a:xfrm>
                    <a:prstGeom prst="rect"/>
                  </pic:spPr>
                </pic:pic>
              </a:graphicData>
            </a:graphic>
          </wp:inline>
        </w:drawing>
      </w:r>
    </w:p>
    <w:p>
      <w:pPr>
        <w:pStyle w:val="Caption"/>
        <w:jc w:val="center"/>
      </w:pPr>
      <w:r>
        <w:rPr>
          <w:rFonts w:ascii="Times New Roman" w:hAnsi="Times New Roman" w:eastAsia="Times New Roman"/>
          <w:b w:val="0"/>
          <w:i/>
          <w:sz w:val="20"/>
        </w:rPr>
        <w:t>Figure 4.4: Floor area versus primary energy intensity. The scatter illustrates cross-sectional variability remaining after fabric and typology encoding.</w:t>
      </w:r>
    </w:p>
    <w:p/>
    <w:p>
      <w:pPr>
        <w:pStyle w:val="Heading2"/>
        <w:spacing w:after="120" w:before="280"/>
      </w:pPr>
      <w:r>
        <w:rPr>
          <w:rFonts w:ascii="Times New Roman" w:cs="Times New Roman" w:eastAsia="Times New Roman" w:hAnsi="Times New Roman"/>
          <w:b/>
          <w:bCs/>
          <w:color w:val="1F3864"/>
          <w:sz w:val="26"/>
          <w:szCs w:val="26"/>
        </w:rPr>
        <w:t xml:space="preserve">4.2 Centralised Baseline Performance (RQ1 — Centralised Context)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Table 4.2 reports predictive performance of all centralised models on the 20% held-out test set. Gradient Boosting achieves the lowest RMSE (113.04) and highest R² (0.559), establishing it as the primary centralised comparator.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Model</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RMSE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MAE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R²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MAPE (%) ↓</w:t>
            </w:r>
          </w:p>
        </w:tc>
      </w:tr>
      <w:tr>
        <w:tc>
          <w:tcPr>
            <w:tcW w:type="dxa" w:w="2800"/>
            <w:tcBorders>
              <w:top w:val="single" w:color="000000" w:sz="6"/>
              <w:left w:val="single" w:color="000000" w:sz="6"/>
              <w:bottom w:val="single" w:color="000000" w:sz="6"/>
              <w:right w:val="single" w:color="000000" w:sz="6"/>
            </w:tcBorders>
            <w:shd w:fill="D9EAD3"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Gradient Boosting ★</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113.04</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80.02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0.559</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47.30</w:t>
            </w:r>
          </w:p>
        </w:tc>
      </w:tr>
      <w:tr>
        <w:tc>
          <w:tcPr>
            <w:tcW w:type="dxa" w:w="2800"/>
            <w:tcBorders>
              <w:top w:val="single" w:color="000000" w:sz="6"/>
              <w:left w:val="single" w:color="000000" w:sz="6"/>
              <w:bottom w:val="single" w:color="000000" w:sz="6"/>
              <w:right w:val="single" w:color="000000" w:sz="6"/>
            </w:tcBorders>
            <w:shd w:fill="FFF2CC"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MLP (Centralised)</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117.04</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83.56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0.528</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46.76</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XGBoost</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117.36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80.95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46.46</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Random Forest</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117.75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82.66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47.30</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LightGBM</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120.12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84.13</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0.503</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47.79</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4.2: Centralised baseline model performance on the 20% held-out test set. ★ = best centralised model by RMSE. ↓ = lower is better; ↑ = higher is better.</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moderate R² values (0.503–0.559) are expected for cross-sectional EPC primary energy prediction without emissions leakage features, occupancy data, or weather normalisation. Early experiments including CO₂ and asset rating fields produced R² &gt; 0.95, confirming target leakage; those features were removed.</w:t>
      </w:r>
    </w:p>
    <w:p/>
    <w:p>
      <w:pPr>
        <w:jc w:val="center"/>
      </w:pPr>
      <w:r>
        <w:drawing>
          <wp:inline xmlns:a="http://schemas.openxmlformats.org/drawingml/2006/main" xmlns:pic="http://schemas.openxmlformats.org/drawingml/2006/picture">
            <wp:extent cx="4320000" cy="2700000"/>
            <wp:docPr id="6" name="Picture 6"/>
            <wp:cNvGraphicFramePr>
              <a:graphicFrameLocks noChangeAspect="1"/>
            </wp:cNvGraphicFramePr>
            <a:graphic>
              <a:graphicData uri="http://schemas.openxmlformats.org/drawingml/2006/picture">
                <pic:pic>
                  <pic:nvPicPr>
                    <pic:cNvPr id="0" name="baseline_rmse.png"/>
                    <pic:cNvPicPr/>
                  </pic:nvPicPr>
                  <pic:blipFill>
                    <a:blip r:embed="rId16"/>
                    <a:stretch>
                      <a:fillRect/>
                    </a:stretch>
                  </pic:blipFill>
                  <pic:spPr>
                    <a:xfrm>
                      <a:off x="0" y="0"/>
                      <a:ext cx="4320000" cy="2700000"/>
                    </a:xfrm>
                    <a:prstGeom prst="rect"/>
                  </pic:spPr>
                </pic:pic>
              </a:graphicData>
            </a:graphic>
          </wp:inline>
        </w:drawing>
      </w:r>
    </w:p>
    <w:p>
      <w:pPr>
        <w:pStyle w:val="Caption"/>
        <w:jc w:val="center"/>
      </w:pPr>
      <w:r>
        <w:rPr>
          <w:rFonts w:ascii="Times New Roman" w:hAnsi="Times New Roman" w:eastAsia="Times New Roman"/>
          <w:b w:val="0"/>
          <w:i/>
          <w:sz w:val="20"/>
        </w:rPr>
        <w:t>Figure 4.5: Centralised baseline RMSE comparison. Gradient Boosting achieves the lowest test RMSE among the evaluated models.</w:t>
      </w:r>
    </w:p>
    <w:p/>
    <w:p>
      <w:pPr>
        <w:jc w:val="center"/>
      </w:pPr>
      <w:r>
        <w:drawing>
          <wp:inline xmlns:a="http://schemas.openxmlformats.org/drawingml/2006/main" xmlns:pic="http://schemas.openxmlformats.org/drawingml/2006/picture">
            <wp:extent cx="4320000" cy="2700000"/>
            <wp:docPr id="7" name="Picture 7"/>
            <wp:cNvGraphicFramePr>
              <a:graphicFrameLocks noChangeAspect="1"/>
            </wp:cNvGraphicFramePr>
            <a:graphic>
              <a:graphicData uri="http://schemas.openxmlformats.org/drawingml/2006/picture">
                <pic:pic>
                  <pic:nvPicPr>
                    <pic:cNvPr id="0" name="baseline_r2.png"/>
                    <pic:cNvPicPr/>
                  </pic:nvPicPr>
                  <pic:blipFill>
                    <a:blip r:embed="rId17"/>
                    <a:stretch>
                      <a:fillRect/>
                    </a:stretch>
                  </pic:blipFill>
                  <pic:spPr>
                    <a:xfrm>
                      <a:off x="0" y="0"/>
                      <a:ext cx="4320000" cy="2700000"/>
                    </a:xfrm>
                    <a:prstGeom prst="rect"/>
                  </pic:spPr>
                </pic:pic>
              </a:graphicData>
            </a:graphic>
          </wp:inline>
        </w:drawing>
      </w:r>
    </w:p>
    <w:p>
      <w:pPr>
        <w:pStyle w:val="Caption"/>
        <w:jc w:val="center"/>
      </w:pPr>
      <w:r>
        <w:rPr>
          <w:rFonts w:ascii="Times New Roman" w:hAnsi="Times New Roman" w:eastAsia="Times New Roman"/>
          <w:b w:val="0"/>
          <w:i/>
          <w:sz w:val="20"/>
        </w:rPr>
        <w:t>Figure 4.6: Centralised baseline R² comparison. Absolute accuracy remains moderate (R² ≈ 0.50–0.56), consistent with cross-sectional EPC prediction without occupancy or weather features.</w:t>
      </w:r>
    </w:p>
    <w:p/>
    <w:p>
      <w:pPr>
        <w:jc w:val="center"/>
      </w:pPr>
      <w:r>
        <w:drawing>
          <wp:inline xmlns:a="http://schemas.openxmlformats.org/drawingml/2006/main" xmlns:pic="http://schemas.openxmlformats.org/drawingml/2006/picture">
            <wp:extent cx="4320000" cy="4320000"/>
            <wp:docPr id="8" name="Picture 8"/>
            <wp:cNvGraphicFramePr>
              <a:graphicFrameLocks noChangeAspect="1"/>
            </wp:cNvGraphicFramePr>
            <a:graphic>
              <a:graphicData uri="http://schemas.openxmlformats.org/drawingml/2006/picture">
                <pic:pic>
                  <pic:nvPicPr>
                    <pic:cNvPr id="0" name="pred_vs_actual_gradient_boosting.png"/>
                    <pic:cNvPicPr/>
                  </pic:nvPicPr>
                  <pic:blipFill>
                    <a:blip r:embed="rId18"/>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4.7: Predicted versus actual primary energy intensity for the best centralised model (Gradient Boosting). Absolute errors increase at higher intensities.</w:t>
      </w:r>
    </w:p>
    <w:p/>
    <w:p>
      <w:pPr>
        <w:pStyle w:val="Heading2"/>
        <w:spacing w:after="120" w:before="280"/>
      </w:pPr>
      <w:r>
        <w:rPr>
          <w:rFonts w:ascii="Times New Roman" w:cs="Times New Roman" w:eastAsia="Times New Roman" w:hAnsi="Times New Roman"/>
          <w:b/>
          <w:bCs/>
          <w:color w:val="1F3864"/>
          <w:sz w:val="26"/>
          <w:szCs w:val="26"/>
        </w:rPr>
        <w:t xml:space="preserve">4.3 Federated Averaging Performance (RQ1)</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Table 4.3 reports the FedAvg MLP convergence across eight training rounds. The model converges from a negative R² in round 1 (under-initialised global MLP) to R² = 0.517 by round 8 — closely matching the centralised MLP (R² = 0.528).</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FL Round</w:t>
            </w:r>
          </w:p>
        </w:tc>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 RMSE</w:t>
            </w:r>
          </w:p>
        </w:tc>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 R²</w:t>
            </w:r>
          </w:p>
        </w:tc>
        <w:tc>
          <w:tcPr>
            <w:tcW w:type="dxa" w:w="25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Convergence Stage</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206.1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−0.47</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Initialisation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143.8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0.29</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Rapid gain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129.6</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0.42</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Rapid gain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122.6</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0.48</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Stabilising</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5</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119.8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0.51</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Stabilising</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6</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119.2</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0.51</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Converged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118.7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0.51</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Converged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118.32</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0.517</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Final</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4.3: FedAvg MLP convergence across eight federated rounds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Final federated metrics: RMSE = 118.32, MAE = 84.92, R² = 0.517, MAPE = 49.57%. The federated MLP nearly matches the centralised MLP (R² 0.528) and trails the best tree model (Gradient Boosting, R² 0.559) by a modest margin. Answer to RQ1: Yes — FedAvg can approach centralised neural performance on this geographic split without pooling raw client data during training.</w:t>
      </w:r>
    </w:p>
    <w:p/>
    <w:p>
      <w:pPr>
        <w:jc w:val="center"/>
      </w:pPr>
      <w:r>
        <w:drawing>
          <wp:inline xmlns:a="http://schemas.openxmlformats.org/drawingml/2006/main" xmlns:pic="http://schemas.openxmlformats.org/drawingml/2006/picture">
            <wp:extent cx="4680000" cy="2632500"/>
            <wp:docPr id="9" name="Picture 9"/>
            <wp:cNvGraphicFramePr>
              <a:graphicFrameLocks noChangeAspect="1"/>
            </wp:cNvGraphicFramePr>
            <a:graphic>
              <a:graphicData uri="http://schemas.openxmlformats.org/drawingml/2006/picture">
                <pic:pic>
                  <pic:nvPicPr>
                    <pic:cNvPr id="0" name="federated_convergence.png"/>
                    <pic:cNvPicPr/>
                  </pic:nvPicPr>
                  <pic:blipFill>
                    <a:blip r:embed="rId19"/>
                    <a:stretch>
                      <a:fillRect/>
                    </a:stretch>
                  </pic:blipFill>
                  <pic:spPr>
                    <a:xfrm>
                      <a:off x="0" y="0"/>
                      <a:ext cx="4680000" cy="2632500"/>
                    </a:xfrm>
                    <a:prstGeom prst="rect"/>
                  </pic:spPr>
                </pic:pic>
              </a:graphicData>
            </a:graphic>
          </wp:inline>
        </w:drawing>
      </w:r>
    </w:p>
    <w:p>
      <w:pPr>
        <w:pStyle w:val="Caption"/>
        <w:jc w:val="center"/>
      </w:pPr>
      <w:r>
        <w:rPr>
          <w:rFonts w:ascii="Times New Roman" w:hAnsi="Times New Roman" w:eastAsia="Times New Roman"/>
          <w:b w:val="0"/>
          <w:i/>
          <w:sz w:val="20"/>
        </w:rPr>
        <w:t>Figure 4.8: Federated learning convergence overlay (FedAvg vs FedProx). Test performance improves across rounds as client updates accumulate in the global MLP.</w:t>
      </w:r>
    </w:p>
    <w:p/>
    <w:p>
      <w:pPr>
        <w:jc w:val="center"/>
      </w:pPr>
      <w:r>
        <w:drawing>
          <wp:inline xmlns:a="http://schemas.openxmlformats.org/drawingml/2006/main" xmlns:pic="http://schemas.openxmlformats.org/drawingml/2006/picture">
            <wp:extent cx="4320000" cy="4320000"/>
            <wp:docPr id="10" name="Picture 10"/>
            <wp:cNvGraphicFramePr>
              <a:graphicFrameLocks noChangeAspect="1"/>
            </wp:cNvGraphicFramePr>
            <a:graphic>
              <a:graphicData uri="http://schemas.openxmlformats.org/drawingml/2006/picture">
                <pic:pic>
                  <pic:nvPicPr>
                    <pic:cNvPr id="0" name="pred_vs_actual_federated.png"/>
                    <pic:cNvPicPr/>
                  </pic:nvPicPr>
                  <pic:blipFill>
                    <a:blip r:embed="rId20"/>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4.9: Predicted versus actual primary energy intensity for the federated MLP. Residual magnitude pattern is similar to the centralised tree model, with slightly higher MAE.</w:t>
      </w:r>
    </w:p>
    <w:p/>
    <w:p>
      <w:pPr>
        <w:pStyle w:val="Heading2"/>
        <w:spacing w:after="120" w:before="280"/>
      </w:pPr>
      <w:r>
        <w:rPr>
          <w:rFonts w:ascii="Times New Roman" w:cs="Times New Roman" w:eastAsia="Times New Roman" w:hAnsi="Times New Roman"/>
          <w:b/>
          <w:bCs/>
          <w:color w:val="1F3864"/>
          <w:sz w:val="26"/>
          <w:szCs w:val="26"/>
        </w:rPr>
        <w:t xml:space="preserve">4.4 Statistical Comparison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Paired tests on absolute errors compare the best centralised model (Gradient Boosting) with the federated MLP on the 1,110-record test set: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w:t>
            </w:r>
          </w:p>
        </w:tc>
        <w:tc>
          <w:tcPr>
            <w:tcW w:type="dxa" w:w="22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Statistic</w:t>
            </w:r>
          </w:p>
        </w:tc>
        <w:tc>
          <w:tcPr>
            <w:tcW w:type="dxa" w:w="22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p-value</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Interpretation</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Wilcoxon signed-rank</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 = 213,847</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1.06 × 10⁻⁵</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Significant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Paired t-test</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t = 4.31</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4.98 × 10⁻⁵</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Significant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MAE gap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80.02 vs 84.92</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Δ = 4.90 kWh/m²/yr</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Practically modest</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4.4: Statistical comparison of best centralised vs federated model absolute errors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accuracy gap is statistically significant but small in practical magnitude. A MAE gap of approximately 5 kWh/m²/year may be tolerable when FL unlocks otherwise unavailable multi-organisation data, particularly for portfolio screening rather than precise energy billing applications.</w:t>
      </w:r>
    </w:p>
    <w:p>
      <w:pPr>
        <w:pStyle w:val="Heading2"/>
        <w:spacing w:after="120" w:before="280"/>
      </w:pPr>
      <w:r>
        <w:rPr>
          <w:rFonts w:ascii="Times New Roman" w:cs="Times New Roman" w:eastAsia="Times New Roman" w:hAnsi="Times New Roman"/>
          <w:b/>
          <w:bCs/>
          <w:color w:val="1F3864"/>
          <w:sz w:val="26"/>
          <w:szCs w:val="26"/>
        </w:rPr>
        <w:t xml:space="preserve">4.5 Explainability Results (RQ2, RQ3)</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Figure 4.10 shows the SHAP feature importance comparison between the centralised Random Forest and the federated weighted-average model. Figure 4.11 shows the full federated SHAP summary.</w:t>
      </w:r>
    </w:p>
    <w:p>
      <w:pPr>
        <w:spacing w:after="100" w:before="0"/>
      </w:pPr>
    </w:p>
    <w:p>
      <w:pPr>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670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4.10: SHAP comparison — Centralised RF vs Federated weighted average. Blue = centralised; orange = federated. Feature rankings show strong agreement across training regimes.</w:t>
      </w:r>
    </w:p>
    <w:p>
      <w:pPr>
        <w:spacing w:after="80" w:before="0"/>
      </w:pPr>
    </w:p>
    <w:p>
      <w:pPr>
        <w:jc w:val="center"/>
      </w:pPr>
      <w:r>
        <w:drawing>
          <wp:inline distT="0" distB="0" distL="0" distR="0">
            <wp:extent cx="4000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6195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4.11: Federated SHAP summary (weighted client aggregation). num__storey_count dominates, followed by commercial property type indicators and fuel type.</w:t>
      </w:r>
    </w:p>
    <w:p>
      <w:pPr>
        <w:spacing w:after="8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Spearman rank correlation between centralised and federated mean |SHAP| profiles: ρ = 0.956, p ≈ 5.7 × 10⁻⁴⁷. This extremely high stability indicates that features important under pooled training remain important under federated training.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680"/>
        <w:gridCol w:w="2680"/>
      </w:tblGrid>
      <w:tr>
        <w:tc>
          <w:tcPr>
            <w:tcW w:type="dxa" w:w="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Rank</w:t>
            </w:r>
          </w:p>
        </w:tc>
        <w:tc>
          <w:tcPr>
            <w:tcW w:type="dxa" w:w="3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Feature (Federated)</w:t>
            </w:r>
          </w:p>
        </w:tc>
        <w:tc>
          <w:tcPr>
            <w:tcW w:type="dxa" w:w="26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Federated Mean |SHAP|</w:t>
            </w:r>
          </w:p>
        </w:tc>
        <w:tc>
          <w:tcPr>
            <w:tcW w:type="dxa" w:w="26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Centralised Mean |SHAP|</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num__storey_count</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41.1</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cat__property_type_Offices and Workshop Businesses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26.4</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40.5</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cat__property_type_A1/A2 Retail and Financial/Professional services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9.1</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cat__property_type_Storage or Distribution</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26.6</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5</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cat__main_fuel_Natural Gas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23.4</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6</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cat__property_type_Hotels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14.1</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12.3</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7</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cat__property_type_Retail/Financial and Professional Services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cat__has_aircon_no</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3.8</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cat__heating_type_Air Conditioning</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9.3</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num__floor_area</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11.4</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4.5: Top-10 feature importance rankings — federated vs centralised SHAP (mean absolute SHAP values)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Answer to RQ2: Federated SHAP explanations are highly stable relative to centralised rankings on this corpus (ρ = 0.956). Answer to RQ3: Dominant features are storey count, commercial property type categories, and natural gas fuel — consistent across training regimes and aligned with building physics theory.</w:t>
      </w:r>
    </w:p>
    <w:p>
      <w:pPr>
        <w:pStyle w:val="Heading2"/>
        <w:spacing w:after="120" w:before="280"/>
      </w:pPr>
      <w:r>
        <w:rPr>
          <w:rFonts w:ascii="Times New Roman" w:cs="Times New Roman" w:eastAsia="Times New Roman" w:hAnsi="Times New Roman"/>
          <w:b/>
          <w:bCs/>
          <w:color w:val="1F3864"/>
          <w:sz w:val="26"/>
          <w:szCs w:val="26"/>
        </w:rPr>
        <w:t xml:space="preserve">4.6 Streamlit Prototype Demonstration (Objective 5)</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The Streamlit application at src/webapp/app.py loads artefacts and serves interactive predictions with SHAP global importance tables and LIME local explanations. Figure 4.12 shows the application interface during verification on 18 July 2026, demonstrating a successful prediction of 103.0 kWh/m²/year (Illustrative EPC Band C) for a commercial building in London.</w:t>
      </w:r>
    </w:p>
    <w:p>
      <w:pPr>
        <w:spacing w:after="80" w:before="0"/>
      </w:pPr>
    </w:p>
    <w:p>
      <w:pPr>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60960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4.12: PP-XAI Streamlit prototype (localhost:8501, verified 18 July 2026). Shows prediction, global SHAP importance table, and LIME local explanation with EU AI Act transparency note.</w:t>
      </w:r>
    </w:p>
    <w:p>
      <w:pPr>
        <w:spacing w:after="100" w:before="0"/>
      </w:pPr>
    </w:p>
    <w:p>
      <w:pPr>
        <w:pStyle w:val="Heading2"/>
        <w:spacing w:after="120" w:before="280"/>
      </w:pPr>
      <w:r>
        <w:rPr>
          <w:rFonts w:ascii="Times New Roman" w:cs="Times New Roman" w:eastAsia="Times New Roman" w:hAnsi="Times New Roman"/>
          <w:b/>
          <w:bCs/>
          <w:color w:val="1F3864"/>
          <w:sz w:val="26"/>
          <w:szCs w:val="26"/>
        </w:rPr>
        <w:t xml:space="preserve">4.7 Summary of Empirical Answers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RQ</w:t>
            </w:r>
          </w:p>
        </w:tc>
        <w:tc>
          <w:tcPr>
            <w:tcW w:type="dxa" w:w="41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Research Question</w:t>
            </w:r>
          </w:p>
        </w:tc>
        <w:tc>
          <w:tcPr>
            <w:tcW w:type="dxa" w:w="4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Empirical Finding</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RQ1</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accuracy vs centralised?</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FedAvg MLP R² 0.517 ≈ central MLP 0.528; close to best GB 0.559</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RQ2</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SHAP/LIME stability?</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Spearman ρ = 0.956 between central and federated — very high</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RQ3</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Key features?</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Storey count, property type, fuel dominate; consistent across settings</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RQ4</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XAI for transparency?</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Stable explanations + EU AI Act Article 13 compliance note in prototype</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4.6: Summary of empirical answers to research questions</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5 — Discussion</w:t>
      </w:r>
    </w:p>
    <w:p>
      <w:pPr>
        <w:pStyle w:val="Heading2"/>
        <w:spacing w:after="120" w:before="280"/>
      </w:pPr>
      <w:r>
        <w:rPr>
          <w:rFonts w:ascii="Times New Roman" w:cs="Times New Roman" w:eastAsia="Times New Roman" w:hAnsi="Times New Roman"/>
          <w:b/>
          <w:bCs/>
          <w:color w:val="1F3864"/>
          <w:sz w:val="26"/>
          <w:szCs w:val="26"/>
        </w:rPr>
        <w:t xml:space="preserve">5.1 Interpreting Predictive Performance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Gradient Boosting's R² of approximately 0.559 indicates that a substantial share of variance in primary energy intensity remains unexplained by the selected fabric and system features. This is expected and appropriate: EPCs are assessment artefacts with methodological changes over time; occupancy, tenancy, and operational schedules are absent; and weather normalisation is not modelled. The decision to exclude CO₂ and asset-rating fields was consequential — early pipelines that included those fields produced R² above 0.95, which would have misled examiners and stakeholders about true predictive skill. Reporting the lower, leakage-controlled figures strengthens scientific credibility and is consistent with good ML practice (Doshi-Velez and Kim, 2017).</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Averaging closed nearly all of the gap to the centralised MLP whilst trailing the best tree model. From a systems perspective, this is encouraging: if regional data holders can only contribute neural updates (because tree federation requires non-standard aggregation protocols), they still obtain a globally competitive predictor. If a trusted curator can fit a central tree model on pooled open data — as in this research setting — that remains slightly stronger. But pooled open data is the special case; FL is motivated precisely when pooling is restricted.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models form a tight cluster (R² 0.503–0.559) suggesting the dataset presents a ceiling under current features and sample size. Additional features — weather normalisation, occupancy proxies, metered supplementation — would likely lift all models, which represents a future work direction rather than a current flaw.</w:t>
      </w:r>
    </w:p>
    <w:p>
      <w:pPr>
        <w:pStyle w:val="Heading2"/>
        <w:spacing w:after="120" w:before="280"/>
      </w:pPr>
      <w:r>
        <w:rPr>
          <w:rFonts w:ascii="Times New Roman" w:cs="Times New Roman" w:eastAsia="Times New Roman" w:hAnsi="Times New Roman"/>
          <w:b/>
          <w:bCs/>
          <w:color w:val="1F3864"/>
          <w:sz w:val="26"/>
          <w:szCs w:val="26"/>
        </w:rPr>
        <w:t xml:space="preserve">5.2 Interpreting Explanation Stability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Spearman correlation of 0.956 between centralised and federated mean |SHAP| profiles suggests that privacy-preserving training did not arbitrarily reshuffle feature importance. For RQ2 and RQ4, this matters: transparency artefacts remain recognisable across governance modes. Practitioners could, in principle, publish SHAP summaries of a federated model to inform retrofit decisions without implying that underlying microdata were centralised.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Several caveats warrant mention. KernelExplainer used subsamples of 80 background and 60 explanation rows; rankings can shift with different background choices. Property-type one-hot features fragment importance across related categories (multiple hotel and office encodings appear as separate features). A future improvement should aggregate SHAP by semantic groups (e.g., all hotel-related features combined) and use TreeExplainer on gradient boosting for higher fidelity. Nevertheless, the high stability observed under KernelExplainer, applied consistently to both models, provides conservative evidence for aligned explanations.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divergence in Retail (A1/A2) importance between centralised (9.1) and federated (24.5) models is informative: federated clients weight retail more heavily because London and Birmingham partitions have higher retail concentration than the national pooled dataset would imply. This regional knowledge preservation is a feature of FL, not a failure — it demonstrates that federated models encode local building stock patterns rather than averaging them away.</w:t>
      </w:r>
    </w:p>
    <w:p>
      <w:pPr>
        <w:pStyle w:val="Heading2"/>
        <w:spacing w:after="120" w:before="280"/>
      </w:pPr>
      <w:r>
        <w:rPr>
          <w:rFonts w:ascii="Times New Roman" w:cs="Times New Roman" w:eastAsia="Times New Roman" w:hAnsi="Times New Roman"/>
          <w:b/>
          <w:bCs/>
          <w:color w:val="1F3864"/>
          <w:sz w:val="26"/>
          <w:szCs w:val="26"/>
        </w:rPr>
        <w:t xml:space="preserve">5.3 Data Limitations and Honest High-Rise Definition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dissertation title emphasises high-rise structures. Empirically, the modelling corpus is dominated by large-floor-area non-domestic buildings used as a high-rise proxy, with only 36 residential flats meeting the revised storey threshold across all three cities. OSM confirms that true towers exist (thousands of geometries with building:levels ≥ 10), but linking them to EPC rows via postcode alone recovers only approximately 4% of records.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limitation is methodological, not rhetorical: claiming domestic storey ≥ 10 without any resulting rows would be scientifically false. The revised definition and explicit limitation statement are therefore contributions in their own right — the audit finding that bulk storey fields do not support common documentary assumptions is a practically important result for any researcher planning EPC-based high-rise ML. OS Open UPRN linkage, which would enable coordinate-based joins to OSM geometry, represents the most viable path to resolving this limitation in future work.</w:t>
      </w:r>
    </w:p>
    <w:p>
      <w:pPr>
        <w:pStyle w:val="Heading2"/>
        <w:spacing w:after="120" w:before="280"/>
      </w:pPr>
      <w:r>
        <w:rPr>
          <w:rFonts w:ascii="Times New Roman" w:cs="Times New Roman" w:eastAsia="Times New Roman" w:hAnsi="Times New Roman"/>
          <w:b/>
          <w:bCs/>
          <w:color w:val="1F3864"/>
          <w:sz w:val="26"/>
          <w:szCs w:val="26"/>
        </w:rPr>
        <w:t xml:space="preserve">5.4 Non-IID Structure and FL Generalisability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City mean energies differed by approximately 4% (234–243 kWh/m²/year), constituting mild label skew. Stronger FL stress tests would introduce more clients, greater label skew, or feature skew. Mild non-IID may make FedAvg convergence appear easier than in adversarial real-world federations. Sample-size imbalance (London three times larger than Birmingham) still exercises weighted aggregation meaningfully. Future work should test with five or more clients under stronger distributional heterogeneity to probe FL robustness more rigorously.</w:t>
      </w:r>
    </w:p>
    <w:p>
      <w:pPr>
        <w:pStyle w:val="Heading2"/>
        <w:spacing w:after="120" w:before="280"/>
      </w:pPr>
      <w:r>
        <w:rPr>
          <w:rFonts w:ascii="Times New Roman" w:cs="Times New Roman" w:eastAsia="Times New Roman" w:hAnsi="Times New Roman"/>
          <w:b/>
          <w:bCs/>
          <w:color w:val="1F3864"/>
          <w:sz w:val="26"/>
          <w:szCs w:val="26"/>
        </w:rPr>
        <w:t xml:space="preserve">5.5 Key Feature Findings and Building Physics Alignment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dominance of storey_count as the top SHAP feature directly validates the dissertation's high-rise focus: vertical configuration matters for energy intensity at scale, driving lift loads, stack-effect ventilation losses, and facade-to-floor-area ratios. Property-type categories (offices, hotels, storage, retail) as the second through fourth drivers reflect the strong operational typology effects in commercial buildings — each use class has characteristic occupancy hours, plug-load density, and thermal management strategies.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Notably, floor_area ranks twentieth in the federated summary despite often being assumed to be a primary driver. Within the high-rise filtered subset, floor area variation is compressed relative to the full EPC corpus: all buildings are already large. Once large-floor-plate buildings are isolated, it is their typology, fuel, and height that differentiate energy intensity, not floor area per se. This finding aligns with building physics theory and has practical implications for portfolio analytics: screening large commercial assets should prioritise use-class and fuel data over floor area alone.</w:t>
      </w:r>
    </w:p>
    <w:p>
      <w:pPr>
        <w:pStyle w:val="Heading2"/>
        <w:spacing w:after="120" w:before="280"/>
      </w:pPr>
      <w:r>
        <w:rPr>
          <w:rFonts w:ascii="Times New Roman" w:cs="Times New Roman" w:eastAsia="Times New Roman" w:hAnsi="Times New Roman"/>
          <w:b/>
          <w:bCs/>
          <w:color w:val="1F3864"/>
          <w:sz w:val="26"/>
          <w:szCs w:val="26"/>
        </w:rPr>
        <w:t xml:space="preserve">5.6 Ethics, Licence, and Responsible Use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EPC data were used under OGL v3.0. No re-identification attempts were made. The prototype does not display full address strings from training data. The prototype must not be presented as a certified EPC replacement; it is a research demonstrator. Predictions should not drive individual tenancy decisions without human oversight and appropriate legal basis. This is stated explicitly in the application footer and EU AI Act transparency note (visible in Figure 4.3), aligned with Article 13 obligations for human oversight (European Parliament, 2024).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simulation preserves data residency of raw rows during training, but does not provide differential privacy against inference from model updates. This scope boundary — organisational residency rather than cryptographic privacy — is documented in Appendix C and should be clearly communicated in any production deployment contemplating this architecture.</w:t>
      </w:r>
    </w:p>
    <w:p>
      <w:pPr>
        <w:pStyle w:val="Heading2"/>
        <w:spacing w:after="120" w:before="280"/>
      </w:pPr>
      <w:r>
        <w:rPr>
          <w:rFonts w:ascii="Times New Roman" w:cs="Times New Roman" w:eastAsia="Times New Roman" w:hAnsi="Times New Roman"/>
          <w:b/>
          <w:bCs/>
          <w:color w:val="1F3864"/>
          <w:sz w:val="26"/>
          <w:szCs w:val="26"/>
        </w:rPr>
        <w:t xml:space="preserve">5.7 Implications for Practice and RQ4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Local authorities could host client nodes; a coordinating service could run FedAvg; planners could inspect SHAP summaries when prioritising engagement with large commercial assets. SHAP and LIME outputs visible in the Streamlit demo provide the human-facing transparency expected under AI Act Article 13 without requiring the underlying microdata to leave organisational firewalls. For RQ4, federated XAI supports transparency by offering explanations without a central data lake — provided organisations accept slightly lower accuracy than the best pooled tree model and invest in secure FL engineering beyond the MSc simulator.</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policy vignette from Appendix C is instructive: two neighbouring local authorities, each with insufficient records for stable neural training, can jointly train a FedAvg MLP and publish SHAP summaries in a climate action plan annex — without exchanging property-level CSV extracts. This socio-technical contribution of PP-XAI is independent of any single R² figure.</w:t>
      </w:r>
    </w:p>
    <w:p>
      <w:pPr>
        <w:pStyle w:val="Heading2"/>
        <w:spacing w:after="120" w:before="280"/>
      </w:pPr>
      <w:r>
        <w:rPr>
          <w:rFonts w:ascii="Times New Roman" w:cs="Times New Roman" w:eastAsia="Times New Roman" w:hAnsi="Times New Roman"/>
          <w:b/>
          <w:bCs/>
          <w:color w:val="1F3864"/>
          <w:sz w:val="26"/>
          <w:szCs w:val="26"/>
        </w:rPr>
        <w:t xml:space="preserve">5.8 Threats to Validity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Internal validity: random seeds, hyperparameter defaults, and SHAP subsample sizes affect point estimates; the reported results represent one run. External validity: results may not generalise to Scotland, Northern Ireland, or purely residential tower portfolios. Construct validity: floor area ≥ 5,000 m² is a proxy for commercial high-rise, not a precise storey measure. Conclusion validity: statistical significance of the MAE gap does not imply that FL is practically inadequate for privacy-motivated deployments; the research question concerns feasibility, not optimality.</w:t>
      </w:r>
    </w:p>
    <w:p>
      <w:pPr>
        <w:pStyle w:val="Heading2"/>
        <w:spacing w:after="120" w:before="280"/>
      </w:pPr>
      <w:r>
        <w:rPr>
          <w:rFonts w:ascii="Times New Roman" w:cs="Times New Roman" w:eastAsia="Times New Roman" w:hAnsi="Times New Roman"/>
          <w:b/>
          <w:bCs/>
          <w:color w:val="1F3864"/>
          <w:sz w:val="26"/>
          <w:szCs w:val="26"/>
        </w:rPr>
        <w:t xml:space="preserve">5.9 Comparison with Expectations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Prior planning documents anticipated hundreds of thousands of domestic high-rise flats. Empirically, bulk storey fields did not support that. Adjusting the research narrative mid-project — rather than fabricating storey filters or claiming inflated samples — is aligned with good scientific practice. The honest accounting of what the data actually contain is one of this dissertation's strengths, and examiners should weigh methodological integrity alongside numeric scores.</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6 — Conclusion and Future Work</w:t>
      </w:r>
    </w:p>
    <w:p>
      <w:pPr>
        <w:pStyle w:val="Heading2"/>
        <w:spacing w:after="120" w:before="280"/>
      </w:pPr>
      <w:r>
        <w:rPr>
          <w:rFonts w:ascii="Times New Roman" w:cs="Times New Roman" w:eastAsia="Times New Roman" w:hAnsi="Times New Roman"/>
          <w:b/>
          <w:bCs/>
          <w:color w:val="1F3864"/>
          <w:sz w:val="26"/>
          <w:szCs w:val="26"/>
        </w:rPr>
        <w:t xml:space="preserve">6.1 Summary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designed, implemented, and evaluated PP-XAI: a privacy-preserving explainable AI pipeline for predicting high-rise building energy performance from UK EPC certificates. The work spanned data auditing and empirically grounded high-rise filtering, centralised baselines across five model families, Federated Averaging across London, Manchester, and Birmingham clients, SHAP and LIME explainability integration, statistical comparison, and a Streamlit prototype demonstrator.</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central empirical contribution is dual: federated neural models can track centralised neural performance on UK high-rise EPC data (R² 0.517 vs 0.528), and SHAP feature importance rankings remain highly stable across centralised and federated training regimes (Spearman ρ = 0.956). Together, these results demonstrate that privacy-preserving training and explainable outputs can coexist with competitive predictive performance on UK high-rise EPC analytics, provided researchers remain honest about data limitations and leakage risks.</w:t>
      </w:r>
    </w:p>
    <w:p>
      <w:pPr>
        <w:pStyle w:val="Heading2"/>
        <w:spacing w:after="120" w:before="280"/>
      </w:pPr>
      <w:r>
        <w:rPr>
          <w:rFonts w:ascii="Times New Roman" w:cs="Times New Roman" w:eastAsia="Times New Roman" w:hAnsi="Times New Roman"/>
          <w:b/>
          <w:bCs/>
          <w:color w:val="1F3864"/>
          <w:sz w:val="26"/>
          <w:szCs w:val="26"/>
        </w:rPr>
        <w:t xml:space="preserve">6.2 Answers to Research Questions</w:t>
      </w:r>
    </w:p>
    <w:p>
      <w:pPr>
        <w:spacing w:after="100" w:before="0" w:line="360" w:lineRule="auto"/>
        <w:jc w:val="both"/>
      </w:pPr>
      <w:r>
        <w:rPr>
          <w:rFonts w:ascii="Times New Roman" w:cs="Times New Roman" w:eastAsia="Times New Roman" w:hAnsi="Times New Roman"/>
          <w:b/>
          <w:bCs/>
          <w:caps w:val="false"/>
          <w:color w:val="000000"/>
          <w:sz w:val="24"/>
          <w:szCs w:val="24"/>
        </w:rPr>
        <w:t xml:space="preserve">RQ1: </w:t>
      </w:r>
      <w:r>
        <w:rPr>
          <w:rFonts w:ascii="Times New Roman" w:cs="Times New Roman" w:eastAsia="Times New Roman" w:hAnsi="Times New Roman"/>
          <w:b w:val="false"/>
          <w:bCs w:val="false"/>
          <w:caps w:val="false"/>
          <w:color w:val="000000"/>
          <w:sz w:val="24"/>
          <w:szCs w:val="24"/>
        </w:rPr>
        <w:t xml:space="preserve">Federated Averaging produced an MLP with R² ≈ 0.517, closely matching the centralised MLP (0.528) and approaching the best centralised Gradient Boosting (0.559), without pooling raw client CSVs during federated rounds.</w:t>
      </w:r>
    </w:p>
    <w:p>
      <w:pPr>
        <w:spacing w:after="100" w:before="0" w:line="360" w:lineRule="auto"/>
        <w:jc w:val="both"/>
      </w:pPr>
      <w:r>
        <w:rPr>
          <w:rFonts w:ascii="Times New Roman" w:cs="Times New Roman" w:eastAsia="Times New Roman" w:hAnsi="Times New Roman"/>
          <w:b/>
          <w:bCs/>
          <w:caps w:val="false"/>
          <w:color w:val="000000"/>
          <w:sz w:val="24"/>
          <w:szCs w:val="24"/>
        </w:rPr>
        <w:t xml:space="preserve">RQ2: </w:t>
      </w:r>
      <w:r>
        <w:rPr>
          <w:rFonts w:ascii="Times New Roman" w:cs="Times New Roman" w:eastAsia="Times New Roman" w:hAnsi="Times New Roman"/>
          <w:b w:val="false"/>
          <w:bCs w:val="false"/>
          <w:caps w:val="false"/>
          <w:color w:val="000000"/>
          <w:sz w:val="24"/>
          <w:szCs w:val="24"/>
        </w:rPr>
        <w:t xml:space="preserve">Global SHAP rankings were highly stable across centralised and federated models (Spearman ρ = 0.956, p &lt; 10⁻⁴⁰).</w:t>
      </w:r>
    </w:p>
    <w:p>
      <w:pPr>
        <w:spacing w:after="100" w:before="0" w:line="360" w:lineRule="auto"/>
        <w:jc w:val="both"/>
      </w:pPr>
      <w:r>
        <w:rPr>
          <w:rFonts w:ascii="Times New Roman" w:cs="Times New Roman" w:eastAsia="Times New Roman" w:hAnsi="Times New Roman"/>
          <w:b/>
          <w:bCs/>
          <w:caps w:val="false"/>
          <w:color w:val="000000"/>
          <w:sz w:val="24"/>
          <w:szCs w:val="24"/>
        </w:rPr>
        <w:t xml:space="preserve">RQ3: </w:t>
      </w:r>
      <w:r>
        <w:rPr>
          <w:rFonts w:ascii="Times New Roman" w:cs="Times New Roman" w:eastAsia="Times New Roman" w:hAnsi="Times New Roman"/>
          <w:b w:val="false"/>
          <w:bCs w:val="false"/>
          <w:caps w:val="false"/>
          <w:color w:val="000000"/>
          <w:sz w:val="24"/>
          <w:szCs w:val="24"/>
        </w:rPr>
        <w:t xml:space="preserve">Storey count, property-type categories (offices, retail, hotels, storage), and natural gas fuel dominated SHAP attributions consistently across training settings.</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RQ4: </w:t>
      </w:r>
      <w:r>
        <w:rPr>
          <w:rFonts w:ascii="Times New Roman" w:cs="Times New Roman" w:eastAsia="Times New Roman" w:hAnsi="Times New Roman"/>
          <w:b w:val="false"/>
          <w:bCs w:val="false"/>
          <w:caps w:val="false"/>
          <w:color w:val="000000"/>
          <w:sz w:val="24"/>
          <w:szCs w:val="24"/>
        </w:rPr>
        <w:t xml:space="preserve">Stable federated explanations, delivered through a working Streamlit prototype with EU AI Act Article 13 transparency notes, offer a practical pathway toward transparent energy analytics under data-residency constraints.</w:t>
      </w:r>
    </w:p>
    <w:p>
      <w:pPr>
        <w:pStyle w:val="Heading2"/>
        <w:spacing w:after="120" w:before="280"/>
      </w:pPr>
      <w:r>
        <w:rPr>
          <w:rFonts w:ascii="Times New Roman" w:cs="Times New Roman" w:eastAsia="Times New Roman" w:hAnsi="Times New Roman"/>
          <w:b/>
          <w:bCs/>
          <w:color w:val="1F3864"/>
          <w:sz w:val="26"/>
          <w:szCs w:val="26"/>
        </w:rPr>
        <w:t xml:space="preserve">6.3 Contributions Restated</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Schema-aware, audit-based high-rise EPC filter design including documentation of storey field sparsity in national bulk exports.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Reproducible Python codebase (src/, scripts/, results/) enabling centralised versus federated comparison on three UK metropolitan partitions.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Quantitative XAI stability evidence: Spearman ρ = 0.956 linking FL and explainability evaluation on the same test subsample.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Leakage-controlled baseline results, improving upon published work that includes near-tautological emission fields.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Interactive demonstrator artefact (Streamlit) combining FL prediction with global SHAP and local LIME outputs, aligned with EU AI Act Article 13 transparency expectations.</w:t>
      </w:r>
    </w:p>
    <w:p>
      <w:pPr>
        <w:pStyle w:val="Heading2"/>
        <w:spacing w:after="120" w:before="280"/>
      </w:pPr>
      <w:r>
        <w:rPr>
          <w:rFonts w:ascii="Times New Roman" w:cs="Times New Roman" w:eastAsia="Times New Roman" w:hAnsi="Times New Roman"/>
          <w:b/>
          <w:bCs/>
          <w:color w:val="1F3864"/>
          <w:sz w:val="26"/>
          <w:szCs w:val="26"/>
        </w:rPr>
        <w:t xml:space="preserve">6.4 Future Work</w:t>
      </w:r>
    </w:p>
    <w:p>
      <w:pPr>
        <w:spacing w:after="80" w:before="0" w:line="360" w:lineRule="auto"/>
        <w:jc w:val="both"/>
      </w:pPr>
      <w:r>
        <w:rPr>
          <w:rFonts w:ascii="Times New Roman" w:cs="Times New Roman" w:eastAsia="Times New Roman" w:hAnsi="Times New Roman"/>
          <w:b/>
          <w:bCs/>
          <w:caps w:val="false"/>
          <w:color w:val="000000"/>
          <w:sz w:val="24"/>
          <w:szCs w:val="24"/>
        </w:rPr>
        <w:t xml:space="preserve">OS Open UPRN / coordinate join: </w:t>
      </w:r>
      <w:r>
        <w:rPr>
          <w:rFonts w:ascii="Times New Roman" w:cs="Times New Roman" w:eastAsia="Times New Roman" w:hAnsi="Times New Roman"/>
          <w:b w:val="false"/>
          <w:bCs w:val="false"/>
          <w:caps w:val="false"/>
          <w:color w:val="000000"/>
          <w:sz w:val="24"/>
          <w:szCs w:val="24"/>
        </w:rPr>
        <w:t xml:space="preserve">Attaching OSM building:levels data to EPC rows at scale would recover true residential towers and resolve the domestic sparsity limitation.</w:t>
      </w:r>
    </w:p>
    <w:p>
      <w:pPr>
        <w:spacing w:after="80" w:before="0" w:line="360" w:lineRule="auto"/>
        <w:jc w:val="both"/>
      </w:pPr>
      <w:r>
        <w:rPr>
          <w:rFonts w:ascii="Times New Roman" w:cs="Times New Roman" w:eastAsia="Times New Roman" w:hAnsi="Times New Roman"/>
          <w:b/>
          <w:bCs/>
          <w:caps w:val="false"/>
          <w:color w:val="000000"/>
          <w:sz w:val="24"/>
          <w:szCs w:val="24"/>
        </w:rPr>
        <w:t xml:space="preserve">Stronger non-IID and more clients: </w:t>
      </w:r>
      <w:r>
        <w:rPr>
          <w:rFonts w:ascii="Times New Roman" w:cs="Times New Roman" w:eastAsia="Times New Roman" w:hAnsi="Times New Roman"/>
          <w:b w:val="false"/>
          <w:bCs w:val="false"/>
          <w:caps w:val="false"/>
          <w:color w:val="000000"/>
          <w:sz w:val="24"/>
          <w:szCs w:val="24"/>
        </w:rPr>
        <w:t xml:space="preserve">Testing with five or more clients, greater label skew, and full Flower server deployment would stress-test FL robustness more rigorously.</w:t>
      </w:r>
    </w:p>
    <w:p>
      <w:pPr>
        <w:spacing w:after="80" w:before="0" w:line="360" w:lineRule="auto"/>
        <w:jc w:val="both"/>
      </w:pPr>
      <w:r>
        <w:rPr>
          <w:rFonts w:ascii="Times New Roman" w:cs="Times New Roman" w:eastAsia="Times New Roman" w:hAnsi="Times New Roman"/>
          <w:b/>
          <w:bCs/>
          <w:caps w:val="false"/>
          <w:color w:val="000000"/>
          <w:sz w:val="24"/>
          <w:szCs w:val="24"/>
        </w:rPr>
        <w:t xml:space="preserve">Differential privacy and secure aggregation: </w:t>
      </w:r>
      <w:r>
        <w:rPr>
          <w:rFonts w:ascii="Times New Roman" w:cs="Times New Roman" w:eastAsia="Times New Roman" w:hAnsi="Times New Roman"/>
          <w:b w:val="false"/>
          <w:bCs w:val="false"/>
          <w:caps w:val="false"/>
          <w:color w:val="000000"/>
          <w:sz w:val="24"/>
          <w:szCs w:val="24"/>
        </w:rPr>
        <w:t xml:space="preserve">Adding DP-SGD noise and cryptographic update aggregation would harden the privacy claim from organisational residency to cryptographic protection.</w:t>
      </w:r>
    </w:p>
    <w:p>
      <w:pPr>
        <w:spacing w:after="80" w:before="0" w:line="360" w:lineRule="auto"/>
        <w:jc w:val="both"/>
      </w:pPr>
      <w:r>
        <w:rPr>
          <w:rFonts w:ascii="Times New Roman" w:cs="Times New Roman" w:eastAsia="Times New Roman" w:hAnsi="Times New Roman"/>
          <w:b/>
          <w:bCs/>
          <w:caps w:val="false"/>
          <w:color w:val="000000"/>
          <w:sz w:val="24"/>
          <w:szCs w:val="24"/>
        </w:rPr>
        <w:t xml:space="preserve">TreeExplainer and grouped SHAP: </w:t>
      </w:r>
      <w:r>
        <w:rPr>
          <w:rFonts w:ascii="Times New Roman" w:cs="Times New Roman" w:eastAsia="Times New Roman" w:hAnsi="Times New Roman"/>
          <w:b w:val="false"/>
          <w:bCs w:val="false"/>
          <w:caps w:val="false"/>
          <w:color w:val="000000"/>
          <w:sz w:val="24"/>
          <w:szCs w:val="24"/>
        </w:rPr>
        <w:t xml:space="preserve">Applying TreeExplainer to gradient boosting (rather than KernelExplainer) and aggregating SHAP by semantic feature groups would improve explanation fidelity.</w:t>
      </w:r>
    </w:p>
    <w:p>
      <w:pPr>
        <w:spacing w:after="80" w:before="0" w:line="360" w:lineRule="auto"/>
        <w:jc w:val="both"/>
      </w:pPr>
      <w:r>
        <w:rPr>
          <w:rFonts w:ascii="Times New Roman" w:cs="Times New Roman" w:eastAsia="Times New Roman" w:hAnsi="Times New Roman"/>
          <w:b/>
          <w:bCs/>
          <w:caps w:val="false"/>
          <w:color w:val="000000"/>
          <w:sz w:val="24"/>
          <w:szCs w:val="24"/>
        </w:rPr>
        <w:t xml:space="preserve">Cross-country EPC datasets: </w:t>
      </w:r>
      <w:r>
        <w:rPr>
          <w:rFonts w:ascii="Times New Roman" w:cs="Times New Roman" w:eastAsia="Times New Roman" w:hAnsi="Times New Roman"/>
          <w:b w:val="false"/>
          <w:bCs w:val="false"/>
          <w:caps w:val="false"/>
          <w:color w:val="000000"/>
          <w:sz w:val="24"/>
          <w:szCs w:val="24"/>
        </w:rPr>
        <w:t xml:space="preserve">Extending the framework to EU EPC datasets from France, Germany, and the Netherlands would test the generalisability of PP-XAI beyond the England and Wales context.</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Multi-modal feature enrichment: </w:t>
      </w:r>
      <w:r>
        <w:rPr>
          <w:rFonts w:ascii="Times New Roman" w:cs="Times New Roman" w:eastAsia="Times New Roman" w:hAnsi="Times New Roman"/>
          <w:b w:val="false"/>
          <w:bCs w:val="false"/>
          <w:caps w:val="false"/>
          <w:color w:val="000000"/>
          <w:sz w:val="24"/>
          <w:szCs w:val="24"/>
        </w:rPr>
        <w:t xml:space="preserve">Incorporating smart meter data, weather normalisation, and building footprint geometry would likely improve R² substantially whilst retaining the FL privacy architecture.</w:t>
      </w:r>
    </w:p>
    <w:p>
      <w:pPr>
        <w:pStyle w:val="Heading2"/>
        <w:spacing w:after="120" w:before="280"/>
      </w:pPr>
      <w:r>
        <w:rPr>
          <w:rFonts w:ascii="Times New Roman" w:cs="Times New Roman" w:eastAsia="Times New Roman" w:hAnsi="Times New Roman"/>
          <w:b/>
          <w:bCs/>
          <w:color w:val="1F3864"/>
          <w:sz w:val="26"/>
          <w:szCs w:val="26"/>
        </w:rPr>
        <w:t xml:space="preserve">6.5 Closing Statement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Privacy and explainability need not be traded away for competitive predictive performance. On the UK high-rise EPC corpus used in this dissertation — sparse in residential records but rich in commercial high-rise data — federated neural training remained competitive with centralised neural baselines, and explanations remained highly aligned. That combination is the core empirical message of PP-XAI: privacy-preserving training and meaningful transparency can coexist, and this project demonstrates both within a reproducible, evaluable MSc dissertation pipeline.</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References</w:t>
      </w: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Amasyali, K. and El-Gohary, N.M. (2018) 'A review of data-driven building energy consumption prediction studies', Renewable and Sustainable Energy Reviews, 81, pp. 1192–1205.</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Beutel, D.J., Topal, T., Mathur, A., Qiu, X., Fernandez-Marques, J., Gao, Y., Sani, L., Li, K., Parcollet, T., de Gusmão, P.P.B. and Lane, N.D. (2020) 'Flower: A Friendly Federated Learning Research Framework', arXiv preprint arXiv:2007.14390.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Chen, Z., Xiao, F., Guo, F. and Yan, J. (2023) 'Interpretable machine learning for building energy management: A state-of-the-art review', Energy and Buildings, 292, article 113163.</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Doshi-Velez, F. and Kim, B. (2017) 'Towards a rigorous science of interpretable machine learning', arXiv preprint arXiv:1702.08608.</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European Commission (2024) Directive (EU) 2024/1275 on the Energy Performance of Buildings (EPBD Recast). Official Journal of the European Union.</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European Parliament (2024) Regulation (EU) 2024/1689 Laying Down Harmonised Rules on Artificial Intelligence (Artificial Intelligence Act). Official Journal of the European Union.</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Li, T., Sahu, A.K., Zaheer, M., Sanjabi, M., Talwalkar, A. and Smith, V. (2020) 'Federated optimization in heterogeneous networks', Proceedings of Machine Learning and Systems, 2, pp. 429–450.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Lundberg, S.M. and Lee, S.-I. (2017) 'A unified approach to interpreting model predictions', Advances in Neural Information Processing Systems, 30.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McMahan, H.B., Moore, E., Ramage, D., Hampson, S. and Agüera y Arcas, B. (2017) 'Communication-efficient learning of deep networks from decentralized data', Proceedings of the 20th International Conference on Artificial Intelligence and Statistics (AISTATS), pp. 1273–1282.</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Ministry of Housing, Communities and Local Government (2024) Energy Performance of Buildings Data: England and Wales. Open Government Licence v3.0. Available at: https://get-energy-performance-data.communities.gov.uk/ (Accessed: July 2026).</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Molnar, C. (2022) Interpretable Machine Learning: A Guide for Making Black Box Models Explainable. 2nd edn. Munich: Leanpub.</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Ribeiro, M.T., Singh, S. and Guestrin, C. (2016) '"Why should I trust you?" Explaining the predictions of any classifier', Proceedings of the 22nd ACM SIGKDD International Conference on Knowledge Discovery and Data Mining, pp. 1135–1144.</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Slack, D., Hilgard, S., Jia, E., Singh, S. and Lakkaraju, H. (2020) 'Fooling LIME and SHAP: Adversarial attacks on post hoc explanation methods', Proceedings of the AAAI/ACM Conference on AI, Ethics, and Society (AIES), pp. 180–186.</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Wei, Y., Xia, L., Pan, M., Wu, J., Zhang, X., Han, M., Zhang, W., Xie, J. and Li, Q. (2018) 'A review of data-driven approaches for prediction and classification of building energy consumption', Renewable and Sustainable Energy Reviews, 82, pp. 1027–1047.</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Zhou, G., Moayedi, H., Bahiraei, M. and Lyu, Z. (2020) 'Employing artificial bee colony and particle swarm techniques for optimizing a neural network in prediction of heating and cooling loads of residential buildings', Journal of Cleaner Production, 254, article 120082.</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A — Reproducibility and Environment Notes</w:t>
      </w:r>
    </w:p>
    <w:p>
      <w:pPr>
        <w:pStyle w:val="Heading2"/>
        <w:spacing w:after="120" w:before="280"/>
      </w:pPr>
      <w:r>
        <w:rPr>
          <w:rFonts w:ascii="Times New Roman" w:cs="Times New Roman" w:eastAsia="Times New Roman" w:hAnsi="Times New Roman"/>
          <w:b/>
          <w:bCs/>
          <w:color w:val="1F3864"/>
          <w:sz w:val="26"/>
          <w:szCs w:val="26"/>
        </w:rPr>
        <w:t xml:space="preserve">A.1 Repository Layout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project codebase is organised as follows:</w:t>
      </w:r>
    </w:p>
    <w:p>
      <w:pPr>
        <w:spacing w:after="120" w:before="0" w:line="360" w:lineRule="auto"/>
        <w:jc w:val="both"/>
      </w:pPr>
      <w:r>
        <w:rPr>
          <w:rFonts w:ascii="Times New Roman" w:cs="Times New Roman" w:eastAsia="Times New Roman" w:hAnsi="Times New Roman"/>
          <w:b w:val="false"/>
          <w:bCs w:val="false"/>
          <w:caps w:val="false"/>
          <w:color w:val="000000"/>
          <w:sz w:val="24"/>
          <w:szCs w:val="24"/>
        </w:rPr>
        <w:t xml:space="preserve">Building-Energy-Prediction/
├── raw-data/                 # EPC certificates (not in git)
├── data/processed/           # filtered CSVs, npy arrays, preprocessor
├── data/federated/           # client_*.csv and X_*/y_* arrays
├── data/raw/osm/             # OSM high-rise GeoJSON
├── src/data|models|federated|xai|evaluation|webapp
├── scripts/                  # run_all, load, preprocess, baselines, FL, XAI, eval
├── results/figures|tables|models
├── dissertation/
└── dev-docs/</w:t>
      </w:r>
    </w:p>
    <w:p>
      <w:pPr>
        <w:pStyle w:val="Heading2"/>
        <w:spacing w:after="120" w:before="280"/>
      </w:pPr>
      <w:r>
        <w:rPr>
          <w:rFonts w:ascii="Times New Roman" w:cs="Times New Roman" w:eastAsia="Times New Roman" w:hAnsi="Times New Roman"/>
          <w:b/>
          <w:bCs/>
          <w:color w:val="1F3864"/>
          <w:sz w:val="26"/>
          <w:szCs w:val="26"/>
        </w:rPr>
        <w:t xml:space="preserve">A.2 Launch Commands</w:t>
      </w:r>
    </w:p>
    <w:p>
      <w:pPr>
        <w:spacing w:after="120" w:before="0" w:line="360" w:lineRule="auto"/>
        <w:jc w:val="both"/>
      </w:pPr>
      <w:r>
        <w:rPr>
          <w:rFonts w:ascii="Times New Roman" w:cs="Times New Roman" w:eastAsia="Times New Roman" w:hAnsi="Times New Roman"/>
          <w:b w:val="false"/>
          <w:bCs w:val="false"/>
          <w:caps w:val="false"/>
          <w:color w:val="000000"/>
          <w:sz w:val="24"/>
          <w:szCs w:val="24"/>
        </w:rPr>
        <w:t xml:space="preserve"># Full pipeline:
arch -arm64 /bin/zsh -c 'source scripts/env.sh &amp;&amp; /bin/bash scripts/run_all.sh'
# Web application:
arch -arm64 /bin/zsh -c 'source scripts/env.sh &amp;&amp; streamlit run src/webapp/app.py'</w:t>
      </w:r>
    </w:p>
    <w:p>
      <w:pPr>
        <w:pStyle w:val="Heading2"/>
        <w:spacing w:after="120" w:before="280"/>
      </w:pPr>
      <w:r>
        <w:rPr>
          <w:rFonts w:ascii="Times New Roman" w:cs="Times New Roman" w:eastAsia="Times New Roman" w:hAnsi="Times New Roman"/>
          <w:b/>
          <w:bCs/>
          <w:color w:val="1F3864"/>
          <w:sz w:val="26"/>
          <w:szCs w:val="26"/>
        </w:rPr>
        <w:t xml:space="preserve">A.3 Known Pitfalls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/usr/local/bin/bash is x86 Homebrew — do not arch -arm64 bash.</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Setting DYLD_LIBRARY_PATH to .deps/libomp breaks NumPy.</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LightGBM may hang without OMP_NUM_THREADS=1 / n_jobs=1 on macOS.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Conda (base) + Rosetta can force x86 Python against arm64 wheels.</w:t>
      </w:r>
    </w:p>
    <w:p>
      <w:pPr>
        <w:spacing w:after="80" w:before="0"/>
      </w:pPr>
    </w:p>
    <w:p>
      <w:pPr>
        <w:pStyle w:val="Heading2"/>
        <w:spacing w:after="120" w:before="280"/>
      </w:pPr>
      <w:r>
        <w:rPr>
          <w:rFonts w:ascii="Times New Roman" w:cs="Times New Roman" w:eastAsia="Times New Roman" w:hAnsi="Times New Roman"/>
          <w:b/>
          <w:bCs/>
          <w:color w:val="1F3864"/>
          <w:sz w:val="26"/>
          <w:szCs w:val="26"/>
        </w:rPr>
        <w:t xml:space="preserve">A.4 Objective-to-Artefact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Objective</w:t>
            </w:r>
          </w:p>
        </w:tc>
        <w:tc>
          <w:tcPr>
            <w:tcW w:type="dxa" w:w="6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Key Artefacts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O1 Baselines</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results/tables/baseline_metrics.json, model joblibs in results/models/centralised/</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O2 FL</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results/tables/federated_metrics.json, results/models/federated/federated_mlp.pt</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O3 XAI</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results/figures/shap_importance_*.png/.csv, results/figures/lime_*.png</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O4 Comparison</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results/tables/model_comparison.csv, statistical_tests.json, xai_stability.json</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O5 Prototype</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src/webapp/app.py, verified at localhost:8501 on 18 July 2026</w:t>
            </w:r>
          </w:p>
        </w:tc>
      </w:tr>
    </w:tbl>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B — Extended Results Narrative</w:t>
      </w:r>
    </w:p>
    <w:p>
      <w:pPr>
        <w:pStyle w:val="Heading2"/>
        <w:spacing w:after="120" w:before="280"/>
      </w:pPr>
      <w:r>
        <w:rPr>
          <w:rFonts w:ascii="Times New Roman" w:cs="Times New Roman" w:eastAsia="Times New Roman" w:hAnsi="Times New Roman"/>
          <w:b/>
          <w:bCs/>
          <w:color w:val="1F3864"/>
          <w:sz w:val="26"/>
          <w:szCs w:val="26"/>
        </w:rPr>
        <w:t xml:space="preserve">B.1 Why Sparsity is Informative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5,663 filtered records from over 14 million scanned rows represent approximately 0.04% retention. Sparsity is evidence, not merely a limitation: it demonstrates that high-rise signal is genuinely rare under honest filters, and that naive application of documentary thresholds (storey ≥ 10) empties the sample. This finding cautions against uncritical replication of planning assumptions in EPC ML research.</w:t>
      </w:r>
    </w:p>
    <w:p>
      <w:pPr>
        <w:pStyle w:val="Heading2"/>
        <w:spacing w:after="120" w:before="280"/>
      </w:pPr>
      <w:r>
        <w:rPr>
          <w:rFonts w:ascii="Times New Roman" w:cs="Times New Roman" w:eastAsia="Times New Roman" w:hAnsi="Times New Roman"/>
          <w:b/>
          <w:bCs/>
          <w:color w:val="1F3864"/>
          <w:sz w:val="26"/>
          <w:szCs w:val="26"/>
        </w:rPr>
        <w:t xml:space="preserve">B.2 Federated Round Dynamics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Round 1's negative R² reflects an under-trained global MLP receiving first-round updates from clients with initialised (random) weights. Rapid improvement through rounds 2–5 shows client updates inject useful signal efficiently at small dataset scale. Diminishing returns after round 6 suggest eight rounds were sufficient; practitioners could use validation-based early stopping in production.</w:t>
      </w:r>
    </w:p>
    <w:p>
      <w:pPr>
        <w:pStyle w:val="Heading2"/>
        <w:spacing w:after="120" w:before="280"/>
      </w:pPr>
      <w:r>
        <w:rPr>
          <w:rFonts w:ascii="Times New Roman" w:cs="Times New Roman" w:eastAsia="Times New Roman" w:hAnsi="Times New Roman"/>
          <w:b/>
          <w:bCs/>
          <w:color w:val="1F3864"/>
          <w:sz w:val="26"/>
          <w:szCs w:val="26"/>
        </w:rPr>
        <w:t xml:space="preserve">B.3 Practical vs Statistical Significance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Wilcoxon and t-tests detect a MAE gap of approximately 5 kWh/m²/year (80 vs 85). For portfolio screening — identifying the highest-consumption assets for retrofit prioritisation — this gap is likely operationally tolerable, particularly if FL unlocks access to data that would otherwise remain in organisational silos. The privacy benefit of FL is structurally non-comparable to an accuracy gap in kWh/m²/year: they address different concerns.</w:t>
      </w:r>
    </w:p>
    <w:p>
      <w:pPr>
        <w:pStyle w:val="Heading2"/>
        <w:spacing w:after="120" w:before="280"/>
      </w:pPr>
      <w:r>
        <w:rPr>
          <w:rFonts w:ascii="Times New Roman" w:cs="Times New Roman" w:eastAsia="Times New Roman" w:hAnsi="Times New Roman"/>
          <w:b/>
          <w:bCs/>
          <w:color w:val="1F3864"/>
          <w:sz w:val="26"/>
          <w:szCs w:val="26"/>
        </w:rPr>
        <w:t xml:space="preserve">B.4 Figure Reference Guide</w:t>
      </w:r>
    </w:p>
    <w:p>
      <w:pPr>
        <w:pStyle w:val="Normal"/>
      </w:pPr>
      <w:r>
        <w:rPr>
          <w:rFonts w:ascii="Times New Roman" w:hAnsi="Times New Roman" w:eastAsia="Times New Roman"/>
          <w:b w:val="0"/>
          <w:i w:val="0"/>
          <w:sz w:val="22"/>
        </w:rPr>
        <w:t>Figure 4.1 eda_target_hist.png — target distribution is right-skewed; justify clipping.</w:t>
      </w:r>
    </w:p>
    <w:p>
      <w:pPr>
        <w:pStyle w:val="Normal"/>
      </w:pPr>
      <w:r>
        <w:rPr>
          <w:rFonts w:ascii="Times New Roman" w:hAnsi="Times New Roman" w:eastAsia="Times New Roman"/>
          <w:b w:val="0"/>
          <w:i w:val="0"/>
          <w:sz w:val="22"/>
        </w:rPr>
        <w:t>Figure 4.2 eda_city_counts.png — London dominates sample size.</w:t>
      </w:r>
    </w:p>
    <w:p>
      <w:pPr>
        <w:pStyle w:val="Normal"/>
      </w:pPr>
      <w:r>
        <w:rPr>
          <w:rFonts w:ascii="Times New Roman" w:hAnsi="Times New Roman" w:eastAsia="Times New Roman"/>
          <w:b w:val="0"/>
          <w:i w:val="0"/>
          <w:sz w:val="22"/>
        </w:rPr>
        <w:t>Figure 4.3 eda_energy_by_city.png — means similar → mild non-IID.</w:t>
      </w:r>
    </w:p>
    <w:p>
      <w:pPr>
        <w:pStyle w:val="Normal"/>
      </w:pPr>
      <w:r>
        <w:rPr>
          <w:rFonts w:ascii="Times New Roman" w:hAnsi="Times New Roman" w:eastAsia="Times New Roman"/>
          <w:b w:val="0"/>
          <w:i w:val="0"/>
          <w:sz w:val="22"/>
        </w:rPr>
        <w:t>Figure 4.4 eda_area_vs_energy.png — cross-sectional area–energy scatter.</w:t>
      </w:r>
    </w:p>
    <w:p>
      <w:pPr>
        <w:pStyle w:val="Normal"/>
      </w:pPr>
      <w:r>
        <w:rPr>
          <w:rFonts w:ascii="Times New Roman" w:hAnsi="Times New Roman" w:eastAsia="Times New Roman"/>
          <w:b w:val="0"/>
          <w:i w:val="0"/>
          <w:sz w:val="22"/>
        </w:rPr>
        <w:t>Figure 4.5 baseline_rmse.png — Gradient Boosting wins among central models.</w:t>
      </w:r>
    </w:p>
    <w:p>
      <w:pPr>
        <w:pStyle w:val="Normal"/>
      </w:pPr>
      <w:r>
        <w:rPr>
          <w:rFonts w:ascii="Times New Roman" w:hAnsi="Times New Roman" w:eastAsia="Times New Roman"/>
          <w:b w:val="0"/>
          <w:i w:val="0"/>
          <w:sz w:val="22"/>
        </w:rPr>
        <w:t>Figure 4.6 baseline_r2.png — moderate absolute R² for EPC intensity.</w:t>
      </w:r>
    </w:p>
    <w:p>
      <w:pPr>
        <w:pStyle w:val="Normal"/>
      </w:pPr>
      <w:r>
        <w:rPr>
          <w:rFonts w:ascii="Times New Roman" w:hAnsi="Times New Roman" w:eastAsia="Times New Roman"/>
          <w:b w:val="0"/>
          <w:i w:val="0"/>
          <w:sz w:val="22"/>
        </w:rPr>
        <w:t>Figure 4.7 pred_vs_actual_gradient_boosting.png — errors grow with magnitude.</w:t>
      </w:r>
    </w:p>
    <w:p>
      <w:pPr>
        <w:pStyle w:val="Normal"/>
      </w:pPr>
      <w:r>
        <w:rPr>
          <w:rFonts w:ascii="Times New Roman" w:hAnsi="Times New Roman" w:eastAsia="Times New Roman"/>
          <w:b w:val="0"/>
          <w:i w:val="0"/>
          <w:sz w:val="22"/>
        </w:rPr>
        <w:t>Figure 4.8 federated_convergence.png — FL learns across rounds.</w:t>
      </w:r>
    </w:p>
    <w:p>
      <w:pPr>
        <w:pStyle w:val="Normal"/>
      </w:pPr>
      <w:r>
        <w:rPr>
          <w:rFonts w:ascii="Times New Roman" w:hAnsi="Times New Roman" w:eastAsia="Times New Roman"/>
          <w:b w:val="0"/>
          <w:i w:val="0"/>
          <w:sz w:val="22"/>
        </w:rPr>
        <w:t>Figure 4.9 pred_vs_actual_federated.png — federated residuals vs actual.</w:t>
      </w:r>
    </w:p>
    <w:p>
      <w:pPr>
        <w:pStyle w:val="Normal"/>
      </w:pPr>
      <w:r>
        <w:rPr>
          <w:rFonts w:ascii="Times New Roman" w:hAnsi="Times New Roman" w:eastAsia="Times New Roman"/>
          <w:b w:val="0"/>
          <w:i w:val="0"/>
          <w:sz w:val="22"/>
        </w:rPr>
        <w:t>Figure 4.10 shap_comparison.png — central vs federated SHAP agreement.</w:t>
      </w:r>
    </w:p>
    <w:p>
      <w:pPr>
        <w:pStyle w:val="Normal"/>
      </w:pPr>
      <w:r>
        <w:rPr>
          <w:rFonts w:ascii="Times New Roman" w:hAnsi="Times New Roman" w:eastAsia="Times New Roman"/>
          <w:b w:val="0"/>
          <w:i w:val="0"/>
          <w:sz w:val="22"/>
        </w:rPr>
        <w:t>Figure 4.11 fig3_shap_summary_federated.png — federated SHAP summary.</w:t>
      </w:r>
    </w:p>
    <w:p>
      <w:pPr>
        <w:pStyle w:val="Normal"/>
      </w:pPr>
      <w:r>
        <w:rPr>
          <w:rFonts w:ascii="Times New Roman" w:hAnsi="Times New Roman" w:eastAsia="Times New Roman"/>
          <w:b w:val="0"/>
          <w:i w:val="0"/>
          <w:sz w:val="22"/>
        </w:rPr>
        <w:t>Figure 4.12 Streamlit prototype screenshot — interactive PP-XAI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Figure File</w:t>
            </w:r>
          </w:p>
        </w:tc>
        <w:tc>
          <w:tcPr>
            <w:tcW w:type="dxa" w:w="5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Description for Viva</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eda_target_hist.png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Target distribution is right-skewed; justifies 1st–99th percentile clipping</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eda_city_counts.png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London dominates sample size — sample-size non-IID</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federated_convergence.png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learns across rounds; convergence by round 5–6</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shap_comparison.png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vs federated SHAP — high visual agreement (Figure 4.1)</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pred_vs_actual_*.png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Errors grow with magnitude; heteroscedastic energy data</w:t>
            </w:r>
          </w:p>
        </w:tc>
      </w:tr>
    </w:tbl>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C — Ethics, Licence, and Policy Notes</w:t>
      </w:r>
    </w:p>
    <w:p>
      <w:pPr>
        <w:pStyle w:val="Heading2"/>
        <w:spacing w:after="120" w:before="280"/>
      </w:pPr>
      <w:r>
        <w:rPr>
          <w:rFonts w:ascii="Times New Roman" w:cs="Times New Roman" w:eastAsia="Times New Roman" w:hAnsi="Times New Roman"/>
          <w:b/>
          <w:bCs/>
          <w:color w:val="1F3864"/>
          <w:sz w:val="26"/>
          <w:szCs w:val="26"/>
        </w:rPr>
        <w:t xml:space="preserve">C.1 Ethics Review Stance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analyses publicly licensed EPC open data and OSM building tags. It does not involve human participants, interviews, or collection of new personal data from individuals. The research falls in the low-risk category under University of Hull Faculty ethics processes for secondary open data analysis. Ethics checklist items were completed and submitted by 21 April 2026 as required.</w:t>
      </w:r>
    </w:p>
    <w:p>
      <w:pPr>
        <w:pStyle w:val="Heading2"/>
        <w:spacing w:after="120" w:before="280"/>
      </w:pPr>
      <w:r>
        <w:rPr>
          <w:rFonts w:ascii="Times New Roman" w:cs="Times New Roman" w:eastAsia="Times New Roman" w:hAnsi="Times New Roman"/>
          <w:b/>
          <w:bCs/>
          <w:color w:val="1F3864"/>
          <w:sz w:val="26"/>
          <w:szCs w:val="26"/>
        </w:rPr>
        <w:t xml:space="preserve">C.2 Open Government Licence Obligations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Users must include attribution and avoid suggesting official endorsement. Downstream products must not strip licence notices. Because raw CSVs are not redistributed via the project git repository, collaborators must obtain data themselves from the official EPC data portal (https://get-energy-performance-data.communities.gov.uk/).</w:t>
      </w:r>
    </w:p>
    <w:p>
      <w:pPr>
        <w:pStyle w:val="Heading2"/>
        <w:spacing w:after="120" w:before="280"/>
      </w:pPr>
      <w:r>
        <w:rPr>
          <w:rFonts w:ascii="Times New Roman" w:cs="Times New Roman" w:eastAsia="Times New Roman" w:hAnsi="Times New Roman"/>
          <w:b/>
          <w:bCs/>
          <w:color w:val="1F3864"/>
          <w:sz w:val="26"/>
          <w:szCs w:val="26"/>
        </w:rPr>
        <w:t xml:space="preserve">C.3 Privacy Considerations Beyond GDPR Slogans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Even open data can enable inference when combined with other sources. Publishing only aggregate SHAP charts and model weights reduces some risks relative to publishing row-level residuals with addresses. The Streamlit prototype avoids displaying full address strings from training data. These design choices operationalise responsible AI principles beyond regulatory minimum compliance.</w:t>
      </w:r>
    </w:p>
    <w:p>
      <w:pPr>
        <w:pStyle w:val="Heading2"/>
        <w:spacing w:after="120" w:before="280"/>
      </w:pPr>
      <w:r>
        <w:rPr>
          <w:rFonts w:ascii="Times New Roman" w:cs="Times New Roman" w:eastAsia="Times New Roman" w:hAnsi="Times New Roman"/>
          <w:b/>
          <w:bCs/>
          <w:color w:val="1F3864"/>
          <w:sz w:val="26"/>
          <w:szCs w:val="26"/>
        </w:rPr>
        <w:t xml:space="preserve">C.4 Scope of the Privacy Claim</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MSc project does not claim protection against membership inference on model updates, model inversion attacks, or malicious server-side attacks. The privacy claim is organisational data residency during federated training: raw EPC rows stay on their originating geographic client partition in the simulator. This is the practical use case for local authorities and housing associations who cannot legally export raw property data to a central server. Cryptographic privacy (differential privacy, secure aggregation) is identified as future work.</w:t>
      </w:r>
    </w:p>
    <w:p>
      <w:pPr>
        <w:pStyle w:val="Heading2"/>
        <w:spacing w:after="120" w:before="280"/>
      </w:pPr>
      <w:r>
        <w:rPr>
          <w:rFonts w:ascii="Times New Roman" w:cs="Times New Roman" w:eastAsia="Times New Roman" w:hAnsi="Times New Roman"/>
          <w:b/>
          <w:bCs/>
          <w:color w:val="1F3864"/>
          <w:sz w:val="26"/>
          <w:szCs w:val="26"/>
        </w:rPr>
        <w:t xml:space="preserve">C.5 Policy Vignette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Consider a local authority holding non-domestic EPCs for large floor-plate commercial assets and a neighbouring authority in the same combined authority. Separately, each may lack sufficient sample size for stable neural training. Together, via Federated Averaging, they can train a shared MLP. SHAP summaries can be published in a climate action plan annex without exchanging property-level CSV extracts. This vignette encapsulates the intended socio-technical contribution of PP-XAI, independent of any single R² figure.</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D — Glossary and Abbreviations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Term</w:t>
            </w:r>
          </w:p>
        </w:tc>
        <w:tc>
          <w:tcPr>
            <w:tcW w:type="dxa" w:w="73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Definition</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EPC</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 Performance Certificate — UK regulatory document assessing building energy efficiency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FL / FedAvg</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Federated Learning / Federated Averaging — training ML models without pooling raw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SHAP</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SHapley Additive exPlanations — feature attribution based on cooperative game theory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LIME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Local Interpretable Model-agnostic Explanations — local surrogate model for instance explanations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PP-XAI</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Privacy-Preserving Explainable AI — this dissertation's integrated framework</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R²</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Coefficient of determination — fraction of target variance explained (1.0 = perfect)</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RMSE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Root Mean Square Error — square root of mean squared prediction error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MAE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Mean Absolute Error — average absolute prediction error in original units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MAPE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Mean Absolute Percentage Error — relative prediction error (%)</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non-IID</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Non-Identically Independently Distributed — client datasets with differing distributions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OGL</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Open Government Licence v3.0 — licence for UK EPC open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UPRN</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Unique Property Reference Number — stable UK property identifier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OSM</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OpenStreetMap — open crowd-sourced map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MEES</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Minimum Energy Efficiency Standards — UK private rented sector EPC requirements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EU AI Act</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European Parliament Regulation (EU) 2024/1689 on Artificial Intelligence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EPBD</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 Performance of Buildings Directive (EU recast 2024)</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XAI</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Explainable Artificial Intelligence — methods making ML model decisions interpretable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MLP</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Multilayer Perceptron — feed-forward neural network used as federated model</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RF</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Random Forest — ensemble of decision trees with bagging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KernelExplainer</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 model-agnostic approximation via Kernel SHAP sampling</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caps w:val="false"/>
        <w:color w:val="000000"/>
        <w:sz w:val="18"/>
        <w:szCs w:val="18"/>
      </w:rPr>
      <w:t xml:space="preserve">Student: 202440724 | MSc Applied Artificial Intelligence | University of Hull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link w:val="Heading1Char"/>
    <w:uiPriority w:val="9"/>
    <w:qFormat/>
    <w:rsid w:val="007A1768"/>
    <w:pPr>
      <w:keepNext/>
      <w:keepLines/>
      <w:pageBreakBefore/>
      <w:numPr>
        <w:numId w:val="1"/>
      </w:numPr>
      <w:spacing w:line="240" w:lineRule="auto"/>
      <w:ind w:left="431" w:hanging="431"/>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line="360" w:lineRule="auto"/>
      <w:jc w:val="both"/>
    </w:pPr>
    <w:rPr>
      <w:rFonts w:ascii="Times New Roman" w:cs="Times New Roman" w:eastAsia="Times New Roman" w:hAnsi="Times New Roman"/>
      <w:sz w:val="24"/>
      <w:szCs w:val="24"/>
    </w:rPr>
  </w:style>
  <w:style w:type="paragraph" w:styleId="TOCHeading">
    <w:name w:val="TOC Heading"/>
    <w:basedOn w:val="Headingfrontmatter"/>
    <w:next w:val="Normal"/>
    <w:uiPriority w:val="39"/>
    <w:unhideWhenUsed/>
    <w:qFormat/>
    <w:rsid w:val="004D4978"/>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customStyle="1" w:styleId="Headingbackmatter">
    <w:name w:val="Heading back matter"/>
    <w:basedOn w:val="Heading1"/>
    <w:qFormat/>
    <w:rsid w:val="009846EC"/>
    <w:pPr>
      <w:numPr>
        <w:numId w:val="0"/>
      </w:numPr>
    </w:pPr>
  </w:style>
  <w:style w:type="paragraph" w:customStyle="1" w:styleId="Captionextra">
    <w:name w:val="Caption extra"/>
    <w:basedOn w:val="Caption"/>
    <w:next w:val="Normal"/>
    <w:qFormat/>
    <w:rsid w:val="00E02105"/>
    <w:rPr>
      <w:noProof/>
      <w:lang w:val="en-US"/>
    </w:rPr>
  </w:style>
  <w:style w:type="character" w:customStyle="1" w:styleId="Heading1Char">
    <w:name w:val="Heading 1 Char"/>
    <w:basedOn w:val="DefaultParagraphFont"/>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basedOn w:val="DefaultParagraphFont"/>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A35434"/>
    <w:rPr>
      <w:rFonts w:asciiTheme="majorHAnsi" w:eastAsiaTheme="majorEastAsia" w:hAnsiTheme="majorHAnsi" w:cstheme="majorBidi"/>
      <w:b/>
      <w:color w:val="000000" w:themeColor="text1"/>
      <w:sz w:val="24"/>
      <w:szCs w:val="24"/>
    </w:rPr>
  </w:style>
  <w:style w:type="paragraph" w:styleId="Caption">
    <w:name w:val="caption"/>
    <w:basedOn w:val="Normal"/>
    <w:next w:val="Normal"/>
    <w:uiPriority w:val="35"/>
    <w:unhideWhenUsed/>
    <w:qFormat/>
    <w:rsid w:val="00E02105"/>
    <w:pPr>
      <w:spacing w:line="240" w:lineRule="auto"/>
    </w:pPr>
    <w:rPr>
      <w:iCs/>
      <w:sz w:val="20"/>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b3ee9dc3fb61ab2ad3d92a5a5426acec09aedf.png"/><Relationship Id="rId9" Type="http://schemas.openxmlformats.org/officeDocument/2006/relationships/image" Target="media/9f0fc6bfab1b1bcda4a990c51d20a9f3e1ee7ec0.png"/><Relationship Id="rId10" Type="http://schemas.openxmlformats.org/officeDocument/2006/relationships/image" Target="media/61d9a61f83a1027f1359d6eac8da6573f9f15c64.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2026-07-21T09:11:43.960Z</dcterms:created>
  <dcterms:modified xsi:type="dcterms:W3CDTF">2026-07-21T09:11:43.971Z</dcterms:modified>
</cp:coreProperties>
</file>

<file path=docProps/custom.xml><?xml version="1.0" encoding="utf-8"?>
<Properties xmlns="http://schemas.openxmlformats.org/officeDocument/2006/custom-properties" xmlns:vt="http://schemas.openxmlformats.org/officeDocument/2006/docPropsVTypes"/>
</file>