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 w:val="0"/>
          <w:sz w:val="24"/>
        </w:rPr>
      </w:r>
    </w:p>
    <w:p>
      <w:r>
        <w:rPr>
          <w:rFonts w:ascii="Arial" w:hAnsi="Arial" w:eastAsia="Arial"/>
          <w:b w:val="0"/>
          <w:sz w:val="24"/>
        </w:rPr>
      </w:r>
    </w:p>
    <w:p>
      <w:r>
        <w:rPr>
          <w:rFonts w:ascii="Arial" w:hAnsi="Arial" w:eastAsia="Arial"/>
          <w:b w:val="0"/>
          <w:sz w:val="24"/>
        </w:rPr>
      </w:r>
    </w:p>
    <w:p>
      <w:r>
        <w:rPr>
          <w:rFonts w:ascii="Arial" w:hAnsi="Arial" w:eastAsia="Arial"/>
          <w:b w:val="0"/>
          <w:sz w:val="24"/>
        </w:rPr>
      </w:r>
    </w:p>
    <w:p>
      <w:r>
        <w:rPr>
          <w:rFonts w:ascii="Arial" w:hAnsi="Arial" w:eastAsia="Arial"/>
          <w:b w:val="0"/>
          <w:sz w:val="24"/>
        </w:rPr>
      </w:r>
    </w:p>
    <w:p>
      <w:r>
        <w:rPr>
          <w:rFonts w:ascii="Arial" w:hAnsi="Arial" w:eastAsia="Arial"/>
          <w:b w:val="0"/>
          <w:sz w:val="24"/>
        </w:rPr>
      </w:r>
    </w:p>
    <w:p>
      <w:r>
        <w:rPr>
          <w:rFonts w:ascii="Arial" w:hAnsi="Arial" w:eastAsia="Arial"/>
          <w:b w:val="0"/>
          <w:sz w:val="24"/>
        </w:rPr>
      </w:r>
    </w:p>
    <w:p>
      <w:r>
        <w:rPr>
          <w:rFonts w:ascii="Arial" w:hAnsi="Arial" w:eastAsia="Arial"/>
          <w:b w:val="0"/>
          <w:sz w:val="24"/>
        </w:rPr>
      </w:r>
    </w:p>
    <w:p>
      <w:pPr>
        <w:spacing w:after="0"/>
        <w:jc w:val="center"/>
      </w:pPr>
      <w:r>
        <w:rPr>
          <w:rFonts w:ascii="Arial" w:hAnsi="Arial" w:eastAsia="Arial"/>
          <w:b/>
          <w:sz w:val="28"/>
        </w:rPr>
        <w:t>Описание функциональных характеристик</w:t>
      </w:r>
    </w:p>
    <w:p>
      <w:pPr>
        <w:spacing w:after="0"/>
        <w:jc w:val="center"/>
      </w:pPr>
      <w:r>
        <w:rPr>
          <w:rFonts w:ascii="Arial" w:hAnsi="Arial" w:eastAsia="Arial"/>
          <w:b/>
          <w:sz w:val="28"/>
        </w:rPr>
        <w:t>ПО «FinBuild»</w:t>
      </w:r>
    </w:p>
    <w:p>
      <w:r>
        <w:rPr>
          <w:rFonts w:ascii="Arial" w:hAnsi="Arial" w:eastAsia="Arial"/>
          <w:b w:val="0"/>
          <w:sz w:val="24"/>
        </w:rPr>
      </w:r>
    </w:p>
    <w:p>
      <w:r>
        <w:rPr>
          <w:rFonts w:ascii="Arial" w:hAnsi="Arial" w:eastAsia="Arial"/>
          <w:b w:val="0"/>
          <w:sz w:val="24"/>
        </w:rPr>
      </w:r>
    </w:p>
    <w:p>
      <w:r>
        <w:rPr>
          <w:rFonts w:ascii="Arial" w:hAnsi="Arial" w:eastAsia="Arial"/>
          <w:b w:val="0"/>
          <w:sz w:val="24"/>
        </w:rPr>
      </w:r>
    </w:p>
    <w:p>
      <w:r>
        <w:rPr>
          <w:rFonts w:ascii="Arial" w:hAnsi="Arial" w:eastAsia="Arial"/>
          <w:b w:val="0"/>
          <w:sz w:val="24"/>
        </w:rPr>
      </w:r>
    </w:p>
    <w:p>
      <w:r>
        <w:rPr>
          <w:rFonts w:ascii="Arial" w:hAnsi="Arial" w:eastAsia="Arial"/>
          <w:b w:val="0"/>
          <w:sz w:val="24"/>
        </w:rPr>
      </w:r>
    </w:p>
    <w:p>
      <w:r>
        <w:rPr>
          <w:rFonts w:ascii="Arial" w:hAnsi="Arial" w:eastAsia="Arial"/>
          <w:b w:val="0"/>
          <w:sz w:val="24"/>
        </w:rPr>
      </w:r>
    </w:p>
    <w:p>
      <w:r>
        <w:rPr>
          <w:rFonts w:ascii="Arial" w:hAnsi="Arial" w:eastAsia="Arial"/>
          <w:b w:val="0"/>
          <w:sz w:val="24"/>
        </w:rPr>
      </w:r>
    </w:p>
    <w:p>
      <w:r>
        <w:rPr>
          <w:rFonts w:ascii="Arial" w:hAnsi="Arial" w:eastAsia="Arial"/>
          <w:b w:val="0"/>
          <w:sz w:val="24"/>
        </w:rPr>
      </w:r>
    </w:p>
    <w:p>
      <w:r>
        <w:rPr>
          <w:rFonts w:ascii="Arial" w:hAnsi="Arial" w:eastAsia="Arial"/>
          <w:b w:val="0"/>
          <w:sz w:val="24"/>
        </w:rPr>
      </w:r>
    </w:p>
    <w:p>
      <w:r>
        <w:rPr>
          <w:rFonts w:ascii="Arial" w:hAnsi="Arial" w:eastAsia="Arial"/>
          <w:b w:val="0"/>
          <w:sz w:val="24"/>
        </w:rPr>
      </w:r>
    </w:p>
    <w:p>
      <w:r>
        <w:rPr>
          <w:rFonts w:ascii="Arial" w:hAnsi="Arial" w:eastAsia="Arial"/>
          <w:b w:val="0"/>
          <w:sz w:val="24"/>
        </w:rPr>
      </w:r>
    </w:p>
    <w:p>
      <w:r>
        <w:rPr>
          <w:rFonts w:ascii="Arial" w:hAnsi="Arial" w:eastAsia="Arial"/>
          <w:b w:val="0"/>
          <w:sz w:val="24"/>
        </w:rPr>
      </w:r>
    </w:p>
    <w:p>
      <w:pPr>
        <w:spacing w:before="240" w:after="120"/>
        <w:jc w:val="both"/>
      </w:pPr>
      <w:r>
        <w:rPr>
          <w:rFonts w:ascii="Arial" w:hAnsi="Arial" w:eastAsia="Arial"/>
          <w:b/>
          <w:sz w:val="28"/>
        </w:rPr>
        <w:t>Содержание</w:t>
      </w:r>
    </w:p>
    <w:p>
      <w:pPr>
        <w:spacing w:after="40"/>
        <w:jc w:val="both"/>
      </w:pPr>
      <w:r>
        <w:rPr>
          <w:rFonts w:ascii="Arial" w:hAnsi="Arial" w:eastAsia="Arial"/>
          <w:b w:val="0"/>
          <w:sz w:val="24"/>
        </w:rPr>
        <w:t>1. Аннотация</w:t>
      </w:r>
    </w:p>
    <w:p>
      <w:pPr>
        <w:spacing w:after="40"/>
        <w:jc w:val="both"/>
      </w:pPr>
      <w:r>
        <w:rPr>
          <w:rFonts w:ascii="Arial" w:hAnsi="Arial" w:eastAsia="Arial"/>
          <w:b w:val="0"/>
          <w:sz w:val="24"/>
        </w:rPr>
        <w:t>2. Описание и назначение ПО</w:t>
      </w:r>
    </w:p>
    <w:p>
      <w:pPr>
        <w:spacing w:after="40"/>
        <w:jc w:val="both"/>
      </w:pPr>
      <w:r>
        <w:rPr>
          <w:rFonts w:ascii="Arial" w:hAnsi="Arial" w:eastAsia="Arial"/>
          <w:b w:val="0"/>
          <w:sz w:val="24"/>
        </w:rPr>
        <w:t>3. Основные функциональные характеристики и возможности ПО</w:t>
      </w:r>
    </w:p>
    <w:p>
      <w:pPr>
        <w:spacing w:after="40"/>
        <w:jc w:val="both"/>
      </w:pPr>
      <w:r>
        <w:rPr>
          <w:rFonts w:ascii="Arial" w:hAnsi="Arial" w:eastAsia="Arial"/>
          <w:b w:val="0"/>
          <w:sz w:val="24"/>
        </w:rPr>
        <w:t>4. Роли пользователей</w:t>
      </w:r>
    </w:p>
    <w:p>
      <w:pPr>
        <w:spacing w:after="40"/>
        <w:jc w:val="both"/>
      </w:pPr>
      <w:r>
        <w:rPr>
          <w:rFonts w:ascii="Arial" w:hAnsi="Arial" w:eastAsia="Arial"/>
          <w:b w:val="0"/>
          <w:sz w:val="24"/>
        </w:rPr>
        <w:t>5. Выполнение программы (примеры типовых задач)</w:t>
      </w:r>
    </w:p>
    <w:p>
      <w:pPr>
        <w:spacing w:after="120"/>
        <w:jc w:val="both"/>
      </w:pPr>
      <w:r>
        <w:rPr>
          <w:rFonts w:ascii="Arial" w:hAnsi="Arial" w:eastAsia="Arial"/>
          <w:b w:val="0"/>
          <w:sz w:val="24"/>
        </w:rPr>
        <w:t>6. Контакты</w:t>
      </w:r>
    </w:p>
    <w:p>
      <w:pPr>
        <w:spacing w:before="240" w:after="120"/>
        <w:jc w:val="both"/>
      </w:pPr>
      <w:r>
        <w:rPr>
          <w:rFonts w:ascii="Arial" w:hAnsi="Arial" w:eastAsia="Arial"/>
          <w:b/>
          <w:sz w:val="28"/>
        </w:rPr>
        <w:t>Аннотация</w:t>
      </w:r>
    </w:p>
    <w:p>
      <w:pPr>
        <w:spacing w:after="120"/>
        <w:ind w:firstLine="709"/>
        <w:jc w:val="both"/>
      </w:pPr>
      <w:r>
        <w:rPr>
          <w:rFonts w:ascii="Arial" w:hAnsi="Arial" w:eastAsia="Arial"/>
          <w:b w:val="0"/>
          <w:sz w:val="24"/>
        </w:rPr>
        <w:t>Настоящий документ содержит описание функциональных характеристик ПО «FinBuild», в том числе описание программного обеспечения, информацию о назначении ПО, описание основных функциональных характеристик и возможностей ПО, а также задачи, реализуемые при помощи платформы.</w:t>
      </w:r>
    </w:p>
    <w:p>
      <w:pPr>
        <w:spacing w:before="240" w:after="120"/>
        <w:jc w:val="both"/>
      </w:pPr>
      <w:r>
        <w:rPr>
          <w:rFonts w:ascii="Arial" w:hAnsi="Arial" w:eastAsia="Arial"/>
          <w:b/>
          <w:sz w:val="28"/>
        </w:rPr>
        <w:t>Описание и назначение ПО</w:t>
      </w:r>
    </w:p>
    <w:p>
      <w:pPr>
        <w:spacing w:after="120"/>
        <w:ind w:firstLine="709"/>
        <w:jc w:val="both"/>
      </w:pPr>
      <w:r>
        <w:rPr>
          <w:rFonts w:ascii="Arial" w:hAnsi="Arial" w:eastAsia="Arial"/>
          <w:b w:val="0"/>
          <w:sz w:val="24"/>
        </w:rPr>
        <w:t>ПО «FinBuild» – клиент-серверное веб-приложение (программа для ЭВМ), предназначенное для организации полного цикла работы с заявками на банковские гарантии и иные финансовые продукты для бизнеса: приём и обработка заявок, подбор банковских программ, документооборот, коммуникация участников процесса, предварительная и внутрибанковская оценка принципала, взаимодействие с банками через отдельные личные кабинеты, контроль статусов и администрирование пользователей и прав доступа.</w:t>
      </w:r>
    </w:p>
    <w:p>
      <w:pPr>
        <w:spacing w:after="120"/>
        <w:ind w:firstLine="709"/>
        <w:jc w:val="both"/>
      </w:pPr>
      <w:r>
        <w:rPr>
          <w:rFonts w:ascii="Arial" w:hAnsi="Arial" w:eastAsia="Arial"/>
          <w:b w:val="0"/>
          <w:sz w:val="24"/>
        </w:rPr>
        <w:t>ПО обеспечивает совместную работу клиентов, партнёров, сотрудников платформы (менеджеров, руководителей, аналитиков), заказчиков (бенефициаров) и представителей банков в едином цифровом контуре. Архитектура ПО допускает подключение дополнительных банковских порталов, расширение продуктовой линейки, развитие методик оценки и интеграций с внешними источниками данных без изменения базовой ролевой и процессной модели.</w:t>
      </w:r>
    </w:p>
    <w:p>
      <w:pPr>
        <w:spacing w:before="240" w:after="120"/>
        <w:jc w:val="both"/>
      </w:pPr>
      <w:r>
        <w:rPr>
          <w:rFonts w:ascii="Arial" w:hAnsi="Arial" w:eastAsia="Arial"/>
          <w:b/>
          <w:sz w:val="28"/>
        </w:rPr>
        <w:t>Основные функциональные характеристики и возможности ПО</w:t>
      </w:r>
    </w:p>
    <w:p>
      <w:pPr>
        <w:spacing w:after="80"/>
        <w:ind w:firstLine="709"/>
        <w:jc w:val="both"/>
      </w:pPr>
      <w:r>
        <w:rPr>
          <w:rFonts w:ascii="Arial" w:hAnsi="Arial" w:eastAsia="Arial"/>
          <w:b w:val="0"/>
          <w:sz w:val="24"/>
        </w:rPr>
        <w:t>ПО позволяет осуществлять:</w:t>
      </w:r>
    </w:p>
    <w:p>
      <w:pPr>
        <w:pStyle w:val="ListBullet"/>
        <w:spacing w:after="40"/>
        <w:ind w:firstLine="0" w:left="709"/>
        <w:jc w:val="both"/>
      </w:pPr>
      <w:r>
        <w:rPr>
          <w:rFonts w:ascii="Arial" w:hAnsi="Arial" w:eastAsia="Arial"/>
          <w:b w:val="0"/>
          <w:sz w:val="24"/>
        </w:rPr>
        <w:t>регистрацию и авторизацию пользователей, управление профилем и параметрами уведомлений;</w:t>
      </w:r>
    </w:p>
    <w:p>
      <w:pPr>
        <w:pStyle w:val="ListBullet"/>
        <w:spacing w:after="40"/>
        <w:ind w:firstLine="0" w:left="709"/>
        <w:jc w:val="both"/>
      </w:pPr>
      <w:r>
        <w:rPr>
          <w:rFonts w:ascii="Arial" w:hAnsi="Arial" w:eastAsia="Arial"/>
          <w:b w:val="0"/>
          <w:sz w:val="24"/>
        </w:rPr>
        <w:t>создание, просмотр, фильтрацию и ведение заявок на банковские гарантии и кредитные продукты;</w:t>
      </w:r>
    </w:p>
    <w:p>
      <w:pPr>
        <w:pStyle w:val="ListBullet"/>
        <w:spacing w:after="40"/>
        <w:ind w:firstLine="0" w:left="709"/>
        <w:jc w:val="both"/>
      </w:pPr>
      <w:r>
        <w:rPr>
          <w:rFonts w:ascii="Arial" w:hAnsi="Arial" w:eastAsia="Arial"/>
          <w:b w:val="0"/>
          <w:sz w:val="24"/>
        </w:rPr>
        <w:t>автоматическое и ручное заполнение сведений о компании (в том числе по ИНН с использованием внешних источников данных);</w:t>
      </w:r>
    </w:p>
    <w:p>
      <w:pPr>
        <w:pStyle w:val="ListBullet"/>
        <w:spacing w:after="40"/>
        <w:ind w:firstLine="0" w:left="709"/>
        <w:jc w:val="both"/>
      </w:pPr>
      <w:r>
        <w:rPr>
          <w:rFonts w:ascii="Arial" w:hAnsi="Arial" w:eastAsia="Arial"/>
          <w:b w:val="0"/>
          <w:sz w:val="24"/>
        </w:rPr>
        <w:t>подбор банковских продуктов по параметрам заявки и предварительный расчёт лимитов;</w:t>
      </w:r>
    </w:p>
    <w:p>
      <w:pPr>
        <w:pStyle w:val="ListBullet"/>
        <w:spacing w:after="40"/>
        <w:ind w:firstLine="0" w:left="709"/>
        <w:jc w:val="both"/>
      </w:pPr>
      <w:r>
        <w:rPr>
          <w:rFonts w:ascii="Arial" w:hAnsi="Arial" w:eastAsia="Arial"/>
          <w:b w:val="0"/>
          <w:sz w:val="24"/>
        </w:rPr>
        <w:t>ведение карточки заявки: информация, продукты, документы, аналитика, структура принципала, дорожная карта, чаты;</w:t>
      </w:r>
    </w:p>
    <w:p>
      <w:pPr>
        <w:pStyle w:val="ListBullet"/>
        <w:spacing w:after="40"/>
        <w:ind w:firstLine="0" w:left="709"/>
        <w:jc w:val="both"/>
      </w:pPr>
      <w:r>
        <w:rPr>
          <w:rFonts w:ascii="Arial" w:hAnsi="Arial" w:eastAsia="Arial"/>
          <w:b w:val="0"/>
          <w:sz w:val="24"/>
        </w:rPr>
        <w:t>загрузку, хранение, просмотр и выгрузку документов (включая пакетную выгрузку);</w:t>
      </w:r>
    </w:p>
    <w:p>
      <w:pPr>
        <w:pStyle w:val="ListBullet"/>
        <w:spacing w:after="40"/>
        <w:ind w:firstLine="0" w:left="709"/>
        <w:jc w:val="both"/>
      </w:pPr>
      <w:r>
        <w:rPr>
          <w:rFonts w:ascii="Arial" w:hAnsi="Arial" w:eastAsia="Arial"/>
          <w:b w:val="0"/>
          <w:sz w:val="24"/>
        </w:rPr>
        <w:t>формирование и обработку запросов документов между участниками процесса;</w:t>
      </w:r>
    </w:p>
    <w:p>
      <w:pPr>
        <w:pStyle w:val="ListBullet"/>
        <w:spacing w:after="40"/>
        <w:ind w:firstLine="0" w:left="709"/>
        <w:jc w:val="both"/>
      </w:pPr>
      <w:r>
        <w:rPr>
          <w:rFonts w:ascii="Arial" w:hAnsi="Arial" w:eastAsia="Arial"/>
          <w:b w:val="0"/>
          <w:sz w:val="24"/>
        </w:rPr>
        <w:t>назначение ответственных сотрудников, контроль статусов заявки и продуктов;</w:t>
      </w:r>
    </w:p>
    <w:p>
      <w:pPr>
        <w:pStyle w:val="ListBullet"/>
        <w:spacing w:after="40"/>
        <w:ind w:firstLine="0" w:left="709"/>
        <w:jc w:val="both"/>
      </w:pPr>
      <w:r>
        <w:rPr>
          <w:rFonts w:ascii="Arial" w:hAnsi="Arial" w:eastAsia="Arial"/>
          <w:b w:val="0"/>
          <w:sz w:val="24"/>
        </w:rPr>
        <w:t>коммуникацию в чатах по заявке и по продукту, а также в чате с банком;</w:t>
      </w:r>
    </w:p>
    <w:p>
      <w:pPr>
        <w:pStyle w:val="ListBullet"/>
        <w:spacing w:after="40"/>
        <w:ind w:firstLine="0" w:left="709"/>
        <w:jc w:val="both"/>
      </w:pPr>
      <w:r>
        <w:rPr>
          <w:rFonts w:ascii="Arial" w:hAnsi="Arial" w:eastAsia="Arial"/>
          <w:b w:val="0"/>
          <w:sz w:val="24"/>
        </w:rPr>
        <w:t>отправку пакета документов в банк и сопровождение банковского кейса;</w:t>
      </w:r>
    </w:p>
    <w:p>
      <w:pPr>
        <w:pStyle w:val="ListBullet"/>
        <w:spacing w:after="40"/>
        <w:ind w:firstLine="0" w:left="709"/>
        <w:jc w:val="both"/>
      </w:pPr>
      <w:r>
        <w:rPr>
          <w:rFonts w:ascii="Arial" w:hAnsi="Arial" w:eastAsia="Arial"/>
          <w:b w:val="0"/>
          <w:sz w:val="24"/>
        </w:rPr>
        <w:t>работу представителей банка в отдельном личном кабинете банка (просмотр заявок, документы, статусы, чат, структура, аналитика);</w:t>
      </w:r>
    </w:p>
    <w:p>
      <w:pPr>
        <w:pStyle w:val="ListBullet"/>
        <w:spacing w:after="40"/>
        <w:ind w:firstLine="0" w:left="709"/>
        <w:jc w:val="both"/>
      </w:pPr>
      <w:r>
        <w:rPr>
          <w:rFonts w:ascii="Arial" w:hAnsi="Arial" w:eastAsia="Arial"/>
          <w:b w:val="0"/>
          <w:sz w:val="24"/>
        </w:rPr>
        <w:t>проведение внутрибанковской оценки кредитоспособности (банковская методика): стоп-факторы, финансовые и бизнес-показатели, профсуждение, версионность оценок;</w:t>
      </w:r>
    </w:p>
    <w:p>
      <w:pPr>
        <w:pStyle w:val="ListBullet"/>
        <w:spacing w:after="40"/>
        <w:ind w:firstLine="0" w:left="709"/>
        <w:jc w:val="both"/>
      </w:pPr>
      <w:r>
        <w:rPr>
          <w:rFonts w:ascii="Arial" w:hAnsi="Arial" w:eastAsia="Arial"/>
          <w:b w:val="0"/>
          <w:sz w:val="24"/>
        </w:rPr>
        <w:t>получение и отображение аналитики по компании (рейтинг/скоринг, ключевые факторы, открытые данные);</w:t>
      </w:r>
    </w:p>
    <w:p>
      <w:pPr>
        <w:pStyle w:val="ListBullet"/>
        <w:spacing w:after="40"/>
        <w:ind w:firstLine="0" w:left="709"/>
        <w:jc w:val="both"/>
      </w:pPr>
      <w:r>
        <w:rPr>
          <w:rFonts w:ascii="Arial" w:hAnsi="Arial" w:eastAsia="Arial"/>
          <w:b w:val="0"/>
          <w:sz w:val="24"/>
        </w:rPr>
        <w:t>администрирование каталога банковских продуктов;</w:t>
      </w:r>
    </w:p>
    <w:p>
      <w:pPr>
        <w:pStyle w:val="ListBullet"/>
        <w:spacing w:after="40"/>
        <w:ind w:firstLine="0" w:left="709"/>
        <w:jc w:val="both"/>
      </w:pPr>
      <w:r>
        <w:rPr>
          <w:rFonts w:ascii="Arial" w:hAnsi="Arial" w:eastAsia="Arial"/>
          <w:b w:val="0"/>
          <w:sz w:val="24"/>
        </w:rPr>
        <w:t>управление пользователями и ролями, настройку матрицы прав доступа;</w:t>
      </w:r>
    </w:p>
    <w:p>
      <w:pPr>
        <w:pStyle w:val="ListBullet"/>
        <w:spacing w:after="40"/>
        <w:ind w:firstLine="0" w:left="709"/>
        <w:jc w:val="both"/>
      </w:pPr>
      <w:r>
        <w:rPr>
          <w:rFonts w:ascii="Arial" w:hAnsi="Arial" w:eastAsia="Arial"/>
          <w:b w:val="0"/>
          <w:sz w:val="24"/>
        </w:rPr>
        <w:t>учёт статистики по заявкам;</w:t>
      </w:r>
    </w:p>
    <w:p>
      <w:pPr>
        <w:pStyle w:val="ListBullet"/>
        <w:spacing w:after="40"/>
        <w:ind w:firstLine="0" w:left="709"/>
        <w:jc w:val="both"/>
      </w:pPr>
      <w:r>
        <w:rPr>
          <w:rFonts w:ascii="Arial" w:hAnsi="Arial" w:eastAsia="Arial"/>
          <w:b w:val="0"/>
          <w:sz w:val="24"/>
        </w:rPr>
        <w:t>обращение в службу поддержки и ведение переписки по обращениям;</w:t>
      </w:r>
    </w:p>
    <w:p>
      <w:pPr>
        <w:pStyle w:val="ListBullet"/>
        <w:spacing w:after="40"/>
        <w:ind w:firstLine="0" w:left="709"/>
        <w:jc w:val="both"/>
      </w:pPr>
      <w:r>
        <w:rPr>
          <w:rFonts w:ascii="Arial" w:hAnsi="Arial" w:eastAsia="Arial"/>
          <w:b w:val="0"/>
          <w:sz w:val="24"/>
        </w:rPr>
        <w:t>отправку сервисных уведомлений участникам процесса (в том числе по электронной почте).</w:t>
      </w:r>
    </w:p>
    <w:p>
      <w:pPr>
        <w:spacing w:before="240" w:after="120"/>
        <w:jc w:val="both"/>
      </w:pPr>
      <w:r>
        <w:rPr>
          <w:rFonts w:ascii="Arial" w:hAnsi="Arial" w:eastAsia="Arial"/>
          <w:b/>
          <w:sz w:val="28"/>
        </w:rPr>
        <w:t>Роли пользователей</w:t>
      </w:r>
    </w:p>
    <w:p>
      <w:pPr>
        <w:spacing w:after="80"/>
        <w:ind w:firstLine="709"/>
        <w:jc w:val="both"/>
      </w:pPr>
      <w:r>
        <w:rPr>
          <w:rFonts w:ascii="Arial" w:hAnsi="Arial" w:eastAsia="Arial"/>
          <w:b w:val="0"/>
          <w:sz w:val="24"/>
        </w:rPr>
        <w:t>В ПО «FinBuild» предусмотрена многоролевая модель доступа. Конкретный набор доступных разделов и действий определяется ролью пользователя и настраиваемой матрицей прав.</w:t>
      </w:r>
    </w:p>
    <w:p>
      <w:pPr>
        <w:spacing w:after="80"/>
        <w:ind w:firstLine="709"/>
        <w:jc w:val="both"/>
      </w:pPr>
      <w:r>
        <w:rPr>
          <w:rFonts w:ascii="Arial" w:hAnsi="Arial" w:eastAsia="Arial"/>
          <w:b w:val="0"/>
          <w:sz w:val="24"/>
        </w:rPr>
        <w:t>Клиент — создаёт и ведёт собственные заявки, загружает документы, использует инструменты подбора продуктов и аналитики, ведёт переписку в рамках своих заявок.</w:t>
      </w:r>
    </w:p>
    <w:p>
      <w:pPr>
        <w:spacing w:after="80"/>
        <w:ind w:firstLine="709"/>
        <w:jc w:val="both"/>
      </w:pPr>
      <w:r>
        <w:rPr>
          <w:rFonts w:ascii="Arial" w:hAnsi="Arial" w:eastAsia="Arial"/>
          <w:b w:val="0"/>
          <w:sz w:val="24"/>
        </w:rPr>
        <w:t>Партнёр — работает с заявками в интересах клиентов (принципалов), использует тот же контур заявок и инструментов; при наличии соответствующего признака может получать расширенный доступ к анализу заявок.</w:t>
      </w:r>
    </w:p>
    <w:p>
      <w:pPr>
        <w:spacing w:after="80"/>
        <w:ind w:firstLine="709"/>
        <w:jc w:val="both"/>
      </w:pPr>
      <w:r>
        <w:rPr>
          <w:rFonts w:ascii="Arial" w:hAnsi="Arial" w:eastAsia="Arial"/>
          <w:b w:val="0"/>
          <w:sz w:val="24"/>
        </w:rPr>
        <w:t>Заказчик (бенефициар) — инициирует заявку на банковскую гарантию (intake), после рассмотрения сотрудником платформы взаимодействует в отдельном чате и в рамках согласованных параметров заявки.</w:t>
      </w:r>
    </w:p>
    <w:p>
      <w:pPr>
        <w:spacing w:after="80"/>
        <w:ind w:firstLine="709"/>
        <w:jc w:val="both"/>
      </w:pPr>
      <w:r>
        <w:rPr>
          <w:rFonts w:ascii="Arial" w:hAnsi="Arial" w:eastAsia="Arial"/>
          <w:b w:val="0"/>
          <w:sz w:val="24"/>
        </w:rPr>
        <w:t>Менеджер / менеджер по заявкам — обрабатывает заявки, назначает/ведёт продукты, работает с документами и чатами, отправляет пакеты в банки, сопровождает статусы.</w:t>
      </w:r>
    </w:p>
    <w:p>
      <w:pPr>
        <w:spacing w:after="80"/>
        <w:ind w:firstLine="709"/>
        <w:jc w:val="both"/>
      </w:pPr>
      <w:r>
        <w:rPr>
          <w:rFonts w:ascii="Arial" w:hAnsi="Arial" w:eastAsia="Arial"/>
          <w:b w:val="0"/>
          <w:sz w:val="24"/>
        </w:rPr>
        <w:t>Руководитель — обладает расширенными полномочиями по заявкам, методике, администрированию пользователей, продуктов, статистики и прав доступа.</w:t>
      </w:r>
    </w:p>
    <w:p>
      <w:pPr>
        <w:spacing w:after="80"/>
        <w:ind w:firstLine="709"/>
        <w:jc w:val="both"/>
      </w:pPr>
      <w:r>
        <w:rPr>
          <w:rFonts w:ascii="Arial" w:hAnsi="Arial" w:eastAsia="Arial"/>
          <w:b w:val="0"/>
          <w:sz w:val="24"/>
        </w:rPr>
        <w:t>Аналитик — работает с заявками в части анализа и структуры принципала, документов и связанных аналитических материалов в пределах назначенных прав.</w:t>
      </w:r>
    </w:p>
    <w:p>
      <w:pPr>
        <w:spacing w:after="80"/>
        <w:ind w:firstLine="709"/>
        <w:jc w:val="both"/>
      </w:pPr>
      <w:r>
        <w:rPr>
          <w:rFonts w:ascii="Arial" w:hAnsi="Arial" w:eastAsia="Arial"/>
          <w:b w:val="0"/>
          <w:sz w:val="24"/>
        </w:rPr>
        <w:t>Банк — работает в личном кабинете банка со своими заявками (кейсами): просматривает пакет, меняет статусы, общается с менеджером, использует аналитику, структуру и банковскую методику (в соответствии с настройками портала банка).</w:t>
      </w:r>
    </w:p>
    <w:p>
      <w:pPr>
        <w:spacing w:before="240" w:after="120"/>
        <w:jc w:val="both"/>
      </w:pPr>
      <w:r>
        <w:rPr>
          <w:rFonts w:ascii="Arial" w:hAnsi="Arial" w:eastAsia="Arial"/>
          <w:b/>
          <w:sz w:val="28"/>
        </w:rPr>
        <w:t>Выполнение программы</w:t>
      </w:r>
    </w:p>
    <w:p>
      <w:pPr>
        <w:spacing w:after="120"/>
        <w:ind w:firstLine="709"/>
        <w:jc w:val="both"/>
      </w:pPr>
      <w:r>
        <w:rPr>
          <w:rFonts w:ascii="Arial" w:hAnsi="Arial" w:eastAsia="Arial"/>
          <w:b w:val="0"/>
          <w:sz w:val="24"/>
        </w:rPr>
        <w:t>Ниже приведены типовые сценарии выполнения программы. Фактический состав экранов и полей может уточняться в рамках развития ПО при сохранении описанной логики процессов.</w:t>
      </w:r>
    </w:p>
    <w:p>
      <w:pPr>
        <w:spacing w:before="200" w:after="80"/>
        <w:jc w:val="both"/>
      </w:pPr>
      <w:r>
        <w:rPr>
          <w:rFonts w:ascii="Arial" w:hAnsi="Arial" w:eastAsia="Arial"/>
          <w:b/>
          <w:sz w:val="24"/>
        </w:rPr>
        <w:t>Пример 1. Задача: «Вход в личный кабинет пользователя»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Пользователь открывает страницу входа в ПО и указывает адрес электронной почты (логин) и пароль.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После нажатия кнопки входа система проверяет учётные данные и активность учётной записи.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При успешной проверке пользователь получает доступ к личному кабинету в соответствии со своей ролью (клиент, партнёр, сотрудник платформы или банк).</w:t>
      </w:r>
    </w:p>
    <w:p>
      <w:pPr>
        <w:spacing w:before="200" w:after="80"/>
        <w:jc w:val="both"/>
      </w:pPr>
      <w:r>
        <w:rPr>
          <w:rFonts w:ascii="Arial" w:hAnsi="Arial" w:eastAsia="Arial"/>
          <w:b/>
          <w:sz w:val="24"/>
        </w:rPr>
        <w:t>Пример 2. Задача: «Создание заявки на банковскую гарантию»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Авторизованный пользователь (клиент, партнёр или сотрудник платформы) переходит к созданию заявки и выбирает тип продукта «Банковская гарантия».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Пользователь указывает ИНН принципала и основные параметры заявки (вид гарантии, сумма или режим установления лимита, срок, сведения о закупке/контракте и иные необходимые данные).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Система может автоматически подтянуть сведения о компании по ИНН из доступных источников данных.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После сохранения создаётся карточка заявки со стартовым набором документов и статусом, соответствующим этапу обработки.</w:t>
      </w:r>
    </w:p>
    <w:p>
      <w:pPr>
        <w:spacing w:before="200" w:after="80"/>
        <w:jc w:val="both"/>
      </w:pPr>
      <w:r>
        <w:rPr>
          <w:rFonts w:ascii="Arial" w:hAnsi="Arial" w:eastAsia="Arial"/>
          <w:b/>
          <w:sz w:val="24"/>
        </w:rPr>
        <w:t>Пример 3. Задача: «Работа менеджера с заявкой и продуктами»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Сотрудник платформы открывает карточку заявки, проверяет сведения и документы, при необходимости назначает ответственного.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В разделе продуктов сотрудник подбирает и добавляет банковские продукты, ведёт их статусы, запрашивает недостающие документы и ведёт переписку в чатах.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При готовности пакета сотрудник формирует и отправляет обращение в банк через модуль работы с банком.</w:t>
      </w:r>
    </w:p>
    <w:p>
      <w:pPr>
        <w:spacing w:before="200" w:after="80"/>
        <w:jc w:val="both"/>
      </w:pPr>
      <w:r>
        <w:rPr>
          <w:rFonts w:ascii="Arial" w:hAnsi="Arial" w:eastAsia="Arial"/>
          <w:b/>
          <w:sz w:val="24"/>
        </w:rPr>
        <w:t>Пример 4. Задача: «Обработка заявки в личном кабинете банка»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Пользователь с ролью «Банк» входит в личный кабинет банка и открывает поступившую заявку (банковский кейс).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Банк просматривает сведения заявки, пакет документов, аналитику и структуру принципала, при необходимости ведёт переписку с менеджером.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Банк устанавливает статус рассмотрения (в работе, запрос, одобрение, выдача банковской гарантии, отказ и др.) и фиксирует комментарии/вложения.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При наличии соответствующей настройки портала банка доступна вкладка банковской методики для оценки кредитоспособности принципала.</w:t>
      </w:r>
    </w:p>
    <w:p>
      <w:pPr>
        <w:spacing w:before="200" w:after="80"/>
        <w:jc w:val="both"/>
      </w:pPr>
      <w:r>
        <w:rPr>
          <w:rFonts w:ascii="Arial" w:hAnsi="Arial" w:eastAsia="Arial"/>
          <w:b/>
          <w:sz w:val="24"/>
        </w:rPr>
        <w:t>Пример 5. Задача: «Проведение банковской методики»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Пользователь с правом доступа к банковской методике открывает соответствующую вкладку в карточке заявки.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Заполняются (вручную и/или с автоподстановкой) стоп-факторы, финансовые показатели и показатели бизнес-риска; система рассчитывает баллы и предварительный рейтинг.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Пользователь при необходимости вносит профсуждение, сохраняет черновик и фиксирует официальную версию оценки. История версий сохраняется в системе.</w:t>
      </w:r>
    </w:p>
    <w:p>
      <w:pPr>
        <w:spacing w:before="200" w:after="80"/>
        <w:jc w:val="both"/>
      </w:pPr>
      <w:r>
        <w:rPr>
          <w:rFonts w:ascii="Arial" w:hAnsi="Arial" w:eastAsia="Arial"/>
          <w:b/>
          <w:sz w:val="24"/>
        </w:rPr>
        <w:t>Пример 6. Задача: «Получение аналитики по компании»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Пользователь переходит в инструмент «Аналитика по ИНН» (либо открывает вкладку аналитики в карточке заявки) и указывает ИНН организации.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Система запрашивает и отображает результаты анализа (скоринг/рейтинг, ключевые факторы, сведения из доступных источников).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Результаты могут использоваться для принятия решения о дальнейшей работе с заявкой и сохраняться в истории запросов.</w:t>
      </w:r>
    </w:p>
    <w:p>
      <w:pPr>
        <w:spacing w:before="200" w:after="80"/>
        <w:jc w:val="both"/>
      </w:pPr>
      <w:r>
        <w:rPr>
          <w:rFonts w:ascii="Arial" w:hAnsi="Arial" w:eastAsia="Arial"/>
          <w:b/>
          <w:sz w:val="24"/>
        </w:rPr>
        <w:t>Пример 7. Задача: «Администрирование пользователей и прав»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Пользователь с соответствующими правами открывает раздел администрирования пользователей и создаёт учётную запись нужной роли.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При необходимости в разделе «Права доступа» настраивается матрица полномочий ролей сотрудников платформы.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Изменения применяются к работе пользователей в соответствии с установленными правами.</w:t>
      </w:r>
    </w:p>
    <w:p>
      <w:pPr>
        <w:spacing w:before="240" w:after="120"/>
        <w:jc w:val="both"/>
      </w:pPr>
      <w:r>
        <w:rPr>
          <w:rFonts w:ascii="Arial" w:hAnsi="Arial" w:eastAsia="Arial"/>
          <w:b/>
          <w:sz w:val="28"/>
        </w:rPr>
        <w:t>Контакты</w:t>
      </w:r>
    </w:p>
    <w:p>
      <w:pPr>
        <w:spacing w:after="60"/>
        <w:jc w:val="both"/>
      </w:pPr>
      <w:r>
        <w:rPr>
          <w:rFonts w:ascii="Arial" w:hAnsi="Arial" w:eastAsia="Arial"/>
          <w:b w:val="0"/>
          <w:sz w:val="24"/>
        </w:rPr>
        <w:t>Для контактов с командой разработчиков просьба обращаться по следующим контактам:</w:t>
      </w:r>
    </w:p>
    <w:p>
      <w:pPr>
        <w:jc w:val="both"/>
      </w:pPr>
      <w:r>
        <w:rPr>
          <w:rFonts w:ascii="Arial" w:hAnsi="Arial" w:eastAsia="Arial"/>
          <w:b/>
          <w:sz w:val="24"/>
        </w:rPr>
        <w:t xml:space="preserve">e-mail: </w:t>
      </w:r>
      <w:r>
        <w:rPr>
          <w:rFonts w:ascii="Arial" w:hAnsi="Arial" w:eastAsia="Arial"/>
          <w:sz w:val="24"/>
        </w:rPr>
        <w:t>info@p-fg.com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