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459" w:rsidRDefault="00DC1459" w:rsidP="00DC1459">
      <w:pPr>
        <w:jc w:val="center"/>
        <w:rPr>
          <w:rFonts w:ascii="Times New Roman" w:hAnsi="Times New Roman" w:cs="Times New Roman"/>
          <w:sz w:val="24"/>
          <w:szCs w:val="24"/>
        </w:rPr>
      </w:pPr>
    </w:p>
    <w:p w:rsidR="00430319" w:rsidRPr="00430319" w:rsidRDefault="00430319" w:rsidP="00430319">
      <w:pPr>
        <w:spacing w:after="0"/>
        <w:jc w:val="center"/>
        <w:rPr>
          <w:rFonts w:ascii="Times New Roman" w:hAnsi="Times New Roman" w:cs="Times New Roman"/>
          <w:b/>
          <w:caps/>
          <w:sz w:val="24"/>
          <w:szCs w:val="24"/>
        </w:rPr>
      </w:pPr>
      <w:r>
        <w:t>РЕШЕНИЕ №${decision_number}</w:t>
      </w:r>
    </w:p>
    <w:p w:rsidR="00DC1459" w:rsidRDefault="00430319" w:rsidP="00430319">
      <w:pPr>
        <w:spacing w:after="0"/>
        <w:jc w:val="center"/>
        <w:rPr>
          <w:rFonts w:ascii="Times New Roman" w:hAnsi="Times New Roman" w:cs="Times New Roman"/>
          <w:b/>
          <w:sz w:val="24"/>
          <w:szCs w:val="24"/>
        </w:rPr>
      </w:pPr>
      <w:r w:rsidRPr="00430319">
        <w:rPr>
          <w:rFonts w:ascii="Times New Roman" w:hAnsi="Times New Roman" w:cs="Times New Roman"/>
          <w:b/>
          <w:sz w:val="24"/>
          <w:szCs w:val="24"/>
        </w:rPr>
        <w:t>о предоставлении банковской гарантии</w:t>
      </w:r>
    </w:p>
    <w:p w:rsidR="00430319" w:rsidRDefault="00430319" w:rsidP="00430319">
      <w:pPr>
        <w:spacing w:after="0"/>
        <w:jc w:val="center"/>
        <w:rPr>
          <w:rFonts w:ascii="Times New Roman" w:hAnsi="Times New Roman" w:cs="Times New Roman"/>
          <w:b/>
          <w:sz w:val="24"/>
          <w:szCs w:val="24"/>
        </w:rPr>
      </w:pPr>
    </w:p>
    <w:p w:rsidR="00430319" w:rsidRDefault="00430319" w:rsidP="00430319">
      <w:pPr>
        <w:spacing w:after="0"/>
        <w:rPr>
          <w:rFonts w:ascii="Times New Roman" w:hAnsi="Times New Roman" w:cs="Times New Roman"/>
          <w:sz w:val="24"/>
          <w:szCs w:val="24"/>
        </w:rPr>
      </w:pPr>
      <w:bookmarkStart w:id="0" w:name="_GoBack"/>
      <w:bookmarkEnd w:id="0"/>
      <w:r>
        <w:t>г. Щёлково               «${decision_day}» ${decision_month} ${decision_year}г.</w:t>
      </w:r>
    </w:p>
    <w:p w:rsidR="00430319" w:rsidRDefault="00430319" w:rsidP="00430319">
      <w:pPr>
        <w:spacing w:after="0"/>
        <w:rPr>
          <w:rFonts w:ascii="Times New Roman" w:hAnsi="Times New Roman" w:cs="Times New Roman"/>
          <w:sz w:val="24"/>
          <w:szCs w:val="24"/>
        </w:rPr>
      </w:pPr>
    </w:p>
    <w:p w:rsidR="00430319" w:rsidRDefault="00430319" w:rsidP="00430319">
      <w:pPr>
        <w:spacing w:after="0"/>
        <w:jc w:val="both"/>
        <w:rPr>
          <w:rFonts w:ascii="Times New Roman" w:hAnsi="Times New Roman" w:cs="Times New Roman"/>
          <w:sz w:val="24"/>
          <w:szCs w:val="24"/>
        </w:rPr>
      </w:pPr>
      <w:r>
        <w:t>АКБ «НООСФЕРА» (АО) (далее – Банк) в лице ${guarantor_signatory}, действующего на основании Доверенности от «${poa_day}» ${poa_month} ${poa_year}г. №${poa_number}, рассмотрев Анкету-заявление на предоставление банковской гарантии, решил предоставить банковскую гарантию на следующих условиях:</w:t>
      </w:r>
    </w:p>
    <w:tbl>
      <w:tblPr>
        <w:tblW w:w="9720" w:type="dxa"/>
        <w:tblInd w:w="108" w:type="dxa"/>
        <w:tblLayout w:type="fixed"/>
        <w:tblLook w:val="01E0" w:firstRow="1" w:lastRow="1" w:firstColumn="1" w:lastColumn="1" w:noHBand="0" w:noVBand="0"/>
      </w:tblPr>
      <w:tblGrid>
        <w:gridCol w:w="2864"/>
        <w:gridCol w:w="1714"/>
        <w:gridCol w:w="554"/>
        <w:gridCol w:w="1160"/>
        <w:gridCol w:w="796"/>
        <w:gridCol w:w="170"/>
        <w:gridCol w:w="851"/>
        <w:gridCol w:w="1611"/>
      </w:tblGrid>
      <w:tr w:rsidR="004C1801" w:rsidRPr="004C1801" w:rsidTr="00566ACD">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Продукт</w:t>
            </w:r>
          </w:p>
        </w:tc>
        <w:tc>
          <w:tcPr>
            <w:tcW w:w="6856" w:type="dxa"/>
            <w:gridSpan w:val="7"/>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${product}</w:t>
            </w:r>
          </w:p>
        </w:tc>
      </w:tr>
      <w:tr w:rsidR="004C1801" w:rsidRPr="004C1801" w:rsidTr="00566ACD">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 xml:space="preserve">Тип (цель) гарантии </w:t>
            </w:r>
          </w:p>
        </w:tc>
        <w:tc>
          <w:tcPr>
            <w:tcW w:w="6856" w:type="dxa"/>
            <w:gridSpan w:val="7"/>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${guarantee_type}</w:t>
            </w:r>
          </w:p>
        </w:tc>
      </w:tr>
      <w:tr w:rsidR="004C1801" w:rsidRPr="004C1801" w:rsidTr="00566ACD">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Идентификатор тендера</w:t>
            </w:r>
          </w:p>
        </w:tc>
        <w:tc>
          <w:tcPr>
            <w:tcW w:w="6856" w:type="dxa"/>
            <w:gridSpan w:val="7"/>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${purchase_number}</w:t>
            </w:r>
          </w:p>
        </w:tc>
      </w:tr>
      <w:tr w:rsidR="004C1801" w:rsidRPr="004C1801" w:rsidTr="00566ACD">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Принципал по гарантии</w:t>
            </w:r>
          </w:p>
        </w:tc>
        <w:tc>
          <w:tcPr>
            <w:tcW w:w="6856" w:type="dxa"/>
            <w:gridSpan w:val="7"/>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${principal_name}</w:t>
            </w:r>
          </w:p>
        </w:tc>
      </w:tr>
      <w:tr w:rsidR="004C1801" w:rsidRPr="004C1801" w:rsidTr="00C87F01">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ИНН/КПП</w:t>
            </w:r>
          </w:p>
        </w:tc>
        <w:tc>
          <w:tcPr>
            <w:tcW w:w="2268" w:type="dxa"/>
            <w:gridSpan w:val="2"/>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lang w:val="en-US"/>
              </w:rPr>
            </w:pPr>
            <w:r>
              <w:t>${principal_inn}/${principal_kpp}</w:t>
            </w:r>
          </w:p>
        </w:tc>
        <w:tc>
          <w:tcPr>
            <w:tcW w:w="2126" w:type="dxa"/>
            <w:gridSpan w:val="3"/>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ОГРН</w:t>
            </w:r>
          </w:p>
        </w:tc>
        <w:tc>
          <w:tcPr>
            <w:tcW w:w="2462" w:type="dxa"/>
            <w:gridSpan w:val="2"/>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lang w:val="en-US"/>
              </w:rPr>
            </w:pPr>
            <w:r>
              <w:t>${principal_ogrn}</w:t>
            </w:r>
          </w:p>
        </w:tc>
      </w:tr>
      <w:tr w:rsidR="004C1801" w:rsidRPr="004C1801" w:rsidTr="00566ACD">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Бенефициар по гарантии</w:t>
            </w:r>
          </w:p>
        </w:tc>
        <w:tc>
          <w:tcPr>
            <w:tcW w:w="6856" w:type="dxa"/>
            <w:gridSpan w:val="7"/>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${beneficiary_name}</w:t>
            </w:r>
          </w:p>
        </w:tc>
      </w:tr>
      <w:tr w:rsidR="004C1801" w:rsidRPr="004C1801" w:rsidTr="00C87F01">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ИНН/КПП</w:t>
            </w:r>
          </w:p>
        </w:tc>
        <w:tc>
          <w:tcPr>
            <w:tcW w:w="2268" w:type="dxa"/>
            <w:gridSpan w:val="2"/>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${beneficiary_inn}/${beneficiary_kpp}</w:t>
            </w:r>
          </w:p>
        </w:tc>
        <w:tc>
          <w:tcPr>
            <w:tcW w:w="2126" w:type="dxa"/>
            <w:gridSpan w:val="3"/>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ОГРН</w:t>
            </w:r>
          </w:p>
        </w:tc>
        <w:tc>
          <w:tcPr>
            <w:tcW w:w="2462" w:type="dxa"/>
            <w:gridSpan w:val="2"/>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${beneficiary_ogrn}</w:t>
            </w:r>
          </w:p>
        </w:tc>
      </w:tr>
      <w:tr w:rsidR="004C1801" w:rsidRPr="004C1801" w:rsidTr="00566ACD">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Сумма гарантии</w:t>
            </w:r>
          </w:p>
        </w:tc>
        <w:tc>
          <w:tcPr>
            <w:tcW w:w="6856" w:type="dxa"/>
            <w:gridSpan w:val="7"/>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${amount}</w:t>
            </w:r>
          </w:p>
        </w:tc>
      </w:tr>
      <w:tr w:rsidR="00C87F01" w:rsidRPr="004C1801" w:rsidTr="00566ACD">
        <w:tc>
          <w:tcPr>
            <w:tcW w:w="2864" w:type="dxa"/>
            <w:tcBorders>
              <w:top w:val="single" w:sz="4" w:space="0" w:color="auto"/>
              <w:left w:val="single" w:sz="4" w:space="0" w:color="auto"/>
              <w:bottom w:val="single" w:sz="4" w:space="0" w:color="auto"/>
              <w:right w:val="single" w:sz="4" w:space="0" w:color="auto"/>
            </w:tcBorders>
          </w:tcPr>
          <w:p w:rsidR="00C87F01" w:rsidRPr="004C1801" w:rsidRDefault="00C87F01" w:rsidP="004C1801">
            <w:pPr>
              <w:spacing w:after="0"/>
              <w:jc w:val="both"/>
              <w:rPr>
                <w:rFonts w:ascii="Times New Roman" w:hAnsi="Times New Roman" w:cs="Times New Roman"/>
              </w:rPr>
            </w:pPr>
            <w:r>
              <w:rPr>
                <w:rFonts w:ascii="Times New Roman" w:hAnsi="Times New Roman" w:cs="Times New Roman"/>
              </w:rPr>
              <w:t>Дата окончания гарантии</w:t>
            </w:r>
          </w:p>
        </w:tc>
        <w:tc>
          <w:tcPr>
            <w:tcW w:w="6856" w:type="dxa"/>
            <w:gridSpan w:val="7"/>
            <w:tcBorders>
              <w:top w:val="single" w:sz="4" w:space="0" w:color="auto"/>
              <w:left w:val="single" w:sz="4" w:space="0" w:color="auto"/>
              <w:bottom w:val="single" w:sz="4" w:space="0" w:color="auto"/>
              <w:right w:val="single" w:sz="4" w:space="0" w:color="auto"/>
            </w:tcBorders>
          </w:tcPr>
          <w:p w:rsidR="00C87F01" w:rsidRPr="004C1801" w:rsidRDefault="00C87F01" w:rsidP="004C1801">
            <w:pPr>
              <w:spacing w:after="0"/>
              <w:jc w:val="both"/>
              <w:rPr>
                <w:rFonts w:ascii="Times New Roman" w:hAnsi="Times New Roman" w:cs="Times New Roman"/>
                <w:lang w:val="en-US"/>
              </w:rPr>
            </w:pPr>
            <w:r>
              <w:t>${term_bg}</w:t>
            </w:r>
          </w:p>
        </w:tc>
      </w:tr>
      <w:tr w:rsidR="004C1801" w:rsidRPr="004C1801" w:rsidTr="00566ACD">
        <w:trPr>
          <w:trHeight w:val="293"/>
        </w:trPr>
        <w:tc>
          <w:tcPr>
            <w:tcW w:w="2864" w:type="dxa"/>
            <w:vMerge w:val="restart"/>
            <w:tcBorders>
              <w:top w:val="single" w:sz="4" w:space="0" w:color="auto"/>
              <w:left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Комиссия за выдачу гарантии</w:t>
            </w:r>
          </w:p>
        </w:tc>
        <w:tc>
          <w:tcPr>
            <w:tcW w:w="171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Базовое комиссионное вознаграждение Банка</w:t>
            </w:r>
          </w:p>
        </w:tc>
        <w:tc>
          <w:tcPr>
            <w:tcW w:w="2510" w:type="dxa"/>
            <w:gridSpan w:val="3"/>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Дополнительная выгода, полученная Банком в рамках Договора на оказание агентских услуг</w:t>
            </w:r>
          </w:p>
        </w:tc>
        <w:tc>
          <w:tcPr>
            <w:tcW w:w="2632" w:type="dxa"/>
            <w:gridSpan w:val="3"/>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Комиссионное вознаграждение за внесение изменений/перевыпуск</w:t>
            </w:r>
          </w:p>
        </w:tc>
      </w:tr>
      <w:tr w:rsidR="004C1801" w:rsidRPr="004C1801" w:rsidTr="00566ACD">
        <w:trPr>
          <w:trHeight w:val="292"/>
        </w:trPr>
        <w:tc>
          <w:tcPr>
            <w:tcW w:w="2864" w:type="dxa"/>
            <w:vMerge/>
            <w:tcBorders>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p>
        </w:tc>
        <w:tc>
          <w:tcPr>
            <w:tcW w:w="171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${commission_base}</w:t>
            </w:r>
          </w:p>
        </w:tc>
        <w:tc>
          <w:tcPr>
            <w:tcW w:w="2510" w:type="dxa"/>
            <w:gridSpan w:val="3"/>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${commission_extra}</w:t>
            </w:r>
          </w:p>
        </w:tc>
        <w:tc>
          <w:tcPr>
            <w:tcW w:w="2632" w:type="dxa"/>
            <w:gridSpan w:val="3"/>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${commission_reissue}</w:t>
            </w:r>
          </w:p>
        </w:tc>
      </w:tr>
      <w:tr w:rsidR="004C1801" w:rsidRPr="004C1801" w:rsidTr="00566ACD">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Итоговая комиссия</w:t>
            </w:r>
          </w:p>
        </w:tc>
        <w:tc>
          <w:tcPr>
            <w:tcW w:w="6856" w:type="dxa"/>
            <w:gridSpan w:val="7"/>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lang w:val="en-US"/>
              </w:rPr>
            </w:pPr>
            <w:r>
              <w:t>${commission_total}</w:t>
            </w:r>
          </w:p>
        </w:tc>
      </w:tr>
      <w:tr w:rsidR="004C1801" w:rsidRPr="004C1801" w:rsidTr="00566ACD">
        <w:trPr>
          <w:trHeight w:val="113"/>
        </w:trPr>
        <w:tc>
          <w:tcPr>
            <w:tcW w:w="2864" w:type="dxa"/>
            <w:vMerge w:val="restart"/>
            <w:tcBorders>
              <w:top w:val="single" w:sz="4" w:space="0" w:color="auto"/>
              <w:left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Источник заявки</w:t>
            </w:r>
          </w:p>
        </w:tc>
        <w:tc>
          <w:tcPr>
            <w:tcW w:w="4224" w:type="dxa"/>
            <w:gridSpan w:val="4"/>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Наименование агента</w:t>
            </w:r>
          </w:p>
        </w:tc>
        <w:tc>
          <w:tcPr>
            <w:tcW w:w="2632" w:type="dxa"/>
            <w:gridSpan w:val="3"/>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Сумма агентского вознаграждения</w:t>
            </w:r>
          </w:p>
        </w:tc>
      </w:tr>
      <w:tr w:rsidR="004C1801" w:rsidRPr="004C1801" w:rsidTr="00566ACD">
        <w:trPr>
          <w:trHeight w:val="112"/>
        </w:trPr>
        <w:tc>
          <w:tcPr>
            <w:tcW w:w="2864" w:type="dxa"/>
            <w:vMerge/>
            <w:tcBorders>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p>
        </w:tc>
        <w:tc>
          <w:tcPr>
            <w:tcW w:w="4224" w:type="dxa"/>
            <w:gridSpan w:val="4"/>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${agent_name}</w:t>
            </w:r>
          </w:p>
        </w:tc>
        <w:tc>
          <w:tcPr>
            <w:tcW w:w="2632" w:type="dxa"/>
            <w:gridSpan w:val="3"/>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${agent_fee}</w:t>
            </w:r>
          </w:p>
        </w:tc>
      </w:tr>
      <w:tr w:rsidR="004C1801" w:rsidRPr="004C1801" w:rsidTr="00566ACD">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Порядок и условия выдачи гарантии</w:t>
            </w:r>
          </w:p>
        </w:tc>
        <w:tc>
          <w:tcPr>
            <w:tcW w:w="6856" w:type="dxa"/>
            <w:gridSpan w:val="7"/>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1. В случае согласия с условиями настоящего Решения Принципал уплачивает Банку сумму комиссионного вознаграждения в полном объёме.</w:t>
            </w:r>
          </w:p>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2. Банк оформляет гарантию на фирменном бланке только после поступления комиссионного вознаграждения на расчётный счёт Банка..</w:t>
            </w:r>
          </w:p>
        </w:tc>
      </w:tr>
      <w:tr w:rsidR="004C1801" w:rsidRPr="004C1801" w:rsidTr="00566ACD">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Форма гарантии</w:t>
            </w:r>
          </w:p>
        </w:tc>
        <w:tc>
          <w:tcPr>
            <w:tcW w:w="6856" w:type="dxa"/>
            <w:gridSpan w:val="7"/>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По типовой форме Банка.</w:t>
            </w:r>
          </w:p>
        </w:tc>
      </w:tr>
      <w:tr w:rsidR="004C1801" w:rsidRPr="004C1801" w:rsidTr="00566ACD">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Прочие условия</w:t>
            </w:r>
          </w:p>
        </w:tc>
        <w:tc>
          <w:tcPr>
            <w:tcW w:w="6856" w:type="dxa"/>
            <w:gridSpan w:val="7"/>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lang w:val="en-US"/>
              </w:rPr>
            </w:pPr>
            <w:r w:rsidRPr="004C1801">
              <w:rPr>
                <w:rFonts w:ascii="Times New Roman" w:hAnsi="Times New Roman" w:cs="Times New Roman"/>
                <w:lang w:val="en-US"/>
              </w:rPr>
              <w:t>-</w:t>
            </w:r>
          </w:p>
        </w:tc>
      </w:tr>
      <w:tr w:rsidR="004C1801" w:rsidRPr="004C1801" w:rsidTr="00566ACD">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Срок действия решения</w:t>
            </w:r>
          </w:p>
        </w:tc>
        <w:tc>
          <w:tcPr>
            <w:tcW w:w="6856" w:type="dxa"/>
            <w:gridSpan w:val="7"/>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lang w:val="en-US"/>
              </w:rPr>
              <w:t>14</w:t>
            </w:r>
            <w:r w:rsidRPr="004C1801">
              <w:rPr>
                <w:rFonts w:ascii="Times New Roman" w:hAnsi="Times New Roman" w:cs="Times New Roman"/>
              </w:rPr>
              <w:t xml:space="preserve"> календарных дней.</w:t>
            </w:r>
          </w:p>
        </w:tc>
      </w:tr>
      <w:tr w:rsidR="004C1801" w:rsidRPr="004C1801" w:rsidTr="00566ACD">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Установленный рейтинг</w:t>
            </w:r>
          </w:p>
        </w:tc>
        <w:tc>
          <w:tcPr>
            <w:tcW w:w="6856" w:type="dxa"/>
            <w:gridSpan w:val="7"/>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${established_rating}</w:t>
            </w:r>
          </w:p>
        </w:tc>
      </w:tr>
      <w:tr w:rsidR="004C1801" w:rsidRPr="004C1801" w:rsidTr="00566ACD">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Соответствующая оценка финансового положения</w:t>
            </w:r>
          </w:p>
        </w:tc>
        <w:tc>
          <w:tcPr>
            <w:tcW w:w="6856" w:type="dxa"/>
            <w:gridSpan w:val="7"/>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${financial_position}</w:t>
            </w:r>
          </w:p>
        </w:tc>
      </w:tr>
      <w:tr w:rsidR="004C1801" w:rsidRPr="004C1801" w:rsidTr="00566ACD">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rsidRPr="004C1801">
              <w:rPr>
                <w:rFonts w:ascii="Times New Roman" w:hAnsi="Times New Roman" w:cs="Times New Roman"/>
              </w:rPr>
              <w:t>Наличие стоп-факторов</w:t>
            </w:r>
          </w:p>
        </w:tc>
        <w:tc>
          <w:tcPr>
            <w:tcW w:w="6856" w:type="dxa"/>
            <w:gridSpan w:val="7"/>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${stop_factors}</w:t>
            </w:r>
          </w:p>
        </w:tc>
      </w:tr>
      <w:tr w:rsidR="00C87F01" w:rsidRPr="004C1801" w:rsidTr="00C87F01">
        <w:tc>
          <w:tcPr>
            <w:tcW w:w="2864" w:type="dxa"/>
            <w:tcBorders>
              <w:top w:val="single" w:sz="4" w:space="0" w:color="auto"/>
              <w:left w:val="single" w:sz="4" w:space="0" w:color="auto"/>
              <w:bottom w:val="single" w:sz="4" w:space="0" w:color="auto"/>
              <w:right w:val="single" w:sz="4" w:space="0" w:color="auto"/>
            </w:tcBorders>
          </w:tcPr>
          <w:p w:rsidR="00C87F01" w:rsidRPr="004C1801" w:rsidRDefault="00C87F01" w:rsidP="004C1801">
            <w:pPr>
              <w:spacing w:after="0"/>
              <w:jc w:val="both"/>
              <w:rPr>
                <w:rFonts w:ascii="Times New Roman" w:hAnsi="Times New Roman" w:cs="Times New Roman"/>
              </w:rPr>
            </w:pPr>
            <w:r w:rsidRPr="000F505C">
              <w:rPr>
                <w:rStyle w:val="a7"/>
                <w:rFonts w:ascii="Times New Roman" w:hAnsi="Times New Roman"/>
              </w:rPr>
              <w:t>Размер расчетного резерва</w:t>
            </w:r>
          </w:p>
        </w:tc>
        <w:tc>
          <w:tcPr>
            <w:tcW w:w="1714" w:type="dxa"/>
            <w:tcBorders>
              <w:top w:val="single" w:sz="4" w:space="0" w:color="auto"/>
              <w:left w:val="single" w:sz="4" w:space="0" w:color="auto"/>
              <w:bottom w:val="single" w:sz="4" w:space="0" w:color="auto"/>
              <w:right w:val="single" w:sz="4" w:space="0" w:color="auto"/>
            </w:tcBorders>
          </w:tcPr>
          <w:p w:rsidR="00C87F01" w:rsidRPr="004C1801" w:rsidRDefault="00C87F01" w:rsidP="004C1801">
            <w:pPr>
              <w:spacing w:after="0"/>
              <w:jc w:val="both"/>
              <w:rPr>
                <w:rFonts w:ascii="Times New Roman" w:hAnsi="Times New Roman" w:cs="Times New Roman"/>
              </w:rPr>
            </w:pPr>
            <w:r>
              <w:rPr>
                <w:rFonts w:ascii="Times New Roman" w:hAnsi="Times New Roman" w:cs="Times New Roman"/>
              </w:rPr>
              <w:t>Портфель</w:t>
            </w:r>
          </w:p>
        </w:tc>
        <w:tc>
          <w:tcPr>
            <w:tcW w:w="1714" w:type="dxa"/>
            <w:gridSpan w:val="2"/>
            <w:tcBorders>
              <w:top w:val="single" w:sz="4" w:space="0" w:color="auto"/>
              <w:left w:val="single" w:sz="4" w:space="0" w:color="auto"/>
              <w:bottom w:val="single" w:sz="4" w:space="0" w:color="auto"/>
              <w:right w:val="single" w:sz="4" w:space="0" w:color="auto"/>
            </w:tcBorders>
          </w:tcPr>
          <w:p w:rsidR="00C87F01" w:rsidRPr="004C1801" w:rsidRDefault="00C87F01" w:rsidP="004C1801">
            <w:pPr>
              <w:spacing w:after="0"/>
              <w:jc w:val="both"/>
              <w:rPr>
                <w:rFonts w:ascii="Times New Roman" w:hAnsi="Times New Roman" w:cs="Times New Roman"/>
              </w:rPr>
            </w:pPr>
            <w:r>
              <w:t>${reserve_portfolio}</w:t>
            </w:r>
          </w:p>
        </w:tc>
        <w:tc>
          <w:tcPr>
            <w:tcW w:w="1817" w:type="dxa"/>
            <w:gridSpan w:val="3"/>
            <w:tcBorders>
              <w:top w:val="single" w:sz="4" w:space="0" w:color="auto"/>
              <w:left w:val="single" w:sz="4" w:space="0" w:color="auto"/>
              <w:bottom w:val="single" w:sz="4" w:space="0" w:color="auto"/>
              <w:right w:val="single" w:sz="4" w:space="0" w:color="auto"/>
            </w:tcBorders>
          </w:tcPr>
          <w:p w:rsidR="00C87F01" w:rsidRPr="004C1801" w:rsidRDefault="00C87F01" w:rsidP="004C1801">
            <w:pPr>
              <w:spacing w:after="0"/>
              <w:jc w:val="both"/>
              <w:rPr>
                <w:rFonts w:ascii="Times New Roman" w:hAnsi="Times New Roman" w:cs="Times New Roman"/>
              </w:rPr>
            </w:pPr>
            <w:r>
              <w:rPr>
                <w:rFonts w:ascii="Times New Roman" w:hAnsi="Times New Roman" w:cs="Times New Roman"/>
              </w:rPr>
              <w:t>Процент резерва</w:t>
            </w:r>
          </w:p>
        </w:tc>
        <w:tc>
          <w:tcPr>
            <w:tcW w:w="1611" w:type="dxa"/>
            <w:tcBorders>
              <w:top w:val="single" w:sz="4" w:space="0" w:color="auto"/>
              <w:left w:val="single" w:sz="4" w:space="0" w:color="auto"/>
              <w:bottom w:val="single" w:sz="4" w:space="0" w:color="auto"/>
              <w:right w:val="single" w:sz="4" w:space="0" w:color="auto"/>
            </w:tcBorders>
          </w:tcPr>
          <w:p w:rsidR="00C87F01" w:rsidRPr="004C1801" w:rsidRDefault="00C87F01" w:rsidP="004C1801">
            <w:pPr>
              <w:spacing w:after="0"/>
              <w:jc w:val="both"/>
              <w:rPr>
                <w:rFonts w:ascii="Times New Roman" w:hAnsi="Times New Roman" w:cs="Times New Roman"/>
              </w:rPr>
            </w:pPr>
            <w:r>
              <w:t>${reserve_percent}</w:t>
            </w:r>
          </w:p>
        </w:tc>
      </w:tr>
      <w:tr w:rsidR="004C1801" w:rsidRPr="004C1801" w:rsidTr="00566ACD">
        <w:tc>
          <w:tcPr>
            <w:tcW w:w="2864" w:type="dxa"/>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lang w:val="en-US"/>
              </w:rPr>
            </w:pPr>
            <w:r w:rsidRPr="004C1801">
              <w:rPr>
                <w:rFonts w:ascii="Times New Roman" w:hAnsi="Times New Roman" w:cs="Times New Roman"/>
              </w:rPr>
              <w:t>Специалист ОБГ</w:t>
            </w:r>
          </w:p>
        </w:tc>
        <w:tc>
          <w:tcPr>
            <w:tcW w:w="6856" w:type="dxa"/>
            <w:gridSpan w:val="7"/>
            <w:tcBorders>
              <w:top w:val="single" w:sz="4" w:space="0" w:color="auto"/>
              <w:left w:val="single" w:sz="4" w:space="0" w:color="auto"/>
              <w:bottom w:val="single" w:sz="4" w:space="0" w:color="auto"/>
              <w:right w:val="single" w:sz="4" w:space="0" w:color="auto"/>
            </w:tcBorders>
          </w:tcPr>
          <w:p w:rsidR="004C1801" w:rsidRPr="004C1801" w:rsidRDefault="004C1801" w:rsidP="004C1801">
            <w:pPr>
              <w:spacing w:after="0"/>
              <w:jc w:val="both"/>
              <w:rPr>
                <w:rFonts w:ascii="Times New Roman" w:hAnsi="Times New Roman" w:cs="Times New Roman"/>
              </w:rPr>
            </w:pPr>
            <w:r>
              <w:t>${specialist_name}</w:t>
            </w:r>
          </w:p>
        </w:tc>
      </w:tr>
    </w:tbl>
    <w:p w:rsidR="004C1801" w:rsidRPr="004C1801" w:rsidRDefault="004C1801" w:rsidP="004C1801">
      <w:pPr>
        <w:spacing w:after="0"/>
        <w:jc w:val="both"/>
        <w:rPr>
          <w:rFonts w:ascii="Times New Roman" w:hAnsi="Times New Roman" w:cs="Times New Roman"/>
          <w:b/>
          <w:sz w:val="24"/>
          <w:szCs w:val="24"/>
        </w:rPr>
      </w:pPr>
    </w:p>
    <w:p w:rsidR="004C1801" w:rsidRPr="004C1801" w:rsidRDefault="004C1801" w:rsidP="004C1801">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2A742B">
        <w:rPr>
          <w:rFonts w:ascii="Times New Roman" w:hAnsi="Times New Roman" w:cs="Times New Roman"/>
          <w:sz w:val="24"/>
          <w:szCs w:val="24"/>
        </w:rPr>
        <w:t>Начальник отдела банковских гарантий</w:t>
      </w:r>
      <w:r>
        <w:rPr>
          <w:rFonts w:ascii="Times New Roman" w:hAnsi="Times New Roman" w:cs="Times New Roman"/>
          <w:sz w:val="24"/>
          <w:szCs w:val="24"/>
        </w:rPr>
        <w:t xml:space="preserve">    </w:t>
      </w:r>
      <w:r w:rsidRPr="004C1801">
        <w:rPr>
          <w:rFonts w:ascii="Times New Roman" w:hAnsi="Times New Roman" w:cs="Times New Roman"/>
          <w:sz w:val="24"/>
          <w:szCs w:val="24"/>
        </w:rPr>
        <w:t xml:space="preserve">      </w:t>
      </w:r>
      <w:r w:rsidR="00337AAC">
        <w:rPr>
          <w:rFonts w:ascii="Times New Roman" w:hAnsi="Times New Roman" w:cs="Times New Roman"/>
          <w:sz w:val="24"/>
          <w:szCs w:val="24"/>
        </w:rPr>
        <w:t xml:space="preserve">    </w:t>
      </w:r>
      <w:r w:rsidR="002A742B">
        <w:rPr>
          <w:rFonts w:ascii="Times New Roman" w:hAnsi="Times New Roman" w:cs="Times New Roman"/>
          <w:sz w:val="24"/>
          <w:szCs w:val="24"/>
        </w:rPr>
        <w:t>______________        /_______________</w:t>
      </w:r>
      <w:r w:rsidRPr="004C1801">
        <w:rPr>
          <w:rFonts w:ascii="Times New Roman" w:hAnsi="Times New Roman" w:cs="Times New Roman"/>
          <w:sz w:val="24"/>
          <w:szCs w:val="24"/>
        </w:rPr>
        <w:t>/</w:t>
      </w:r>
    </w:p>
    <w:p w:rsidR="00DC1459" w:rsidRPr="004C1801" w:rsidRDefault="00DC1459">
      <w:pPr>
        <w:rPr>
          <w:rFonts w:ascii="Times New Roman" w:hAnsi="Times New Roman" w:cs="Times New Roman"/>
          <w:sz w:val="18"/>
          <w:szCs w:val="18"/>
        </w:rPr>
      </w:pPr>
    </w:p>
    <w:sectPr w:rsidR="00DC1459" w:rsidRPr="004C1801" w:rsidSect="004A579C">
      <w:pgSz w:w="11906" w:h="16838"/>
      <w:pgMar w:top="1134"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2C18" w:rsidRDefault="00F62C18" w:rsidP="00DC1459">
      <w:pPr>
        <w:spacing w:after="0" w:line="240" w:lineRule="auto"/>
      </w:pPr>
      <w:r>
        <w:separator/>
      </w:r>
    </w:p>
  </w:endnote>
  <w:endnote w:type="continuationSeparator" w:id="0">
    <w:p w:rsidR="00F62C18" w:rsidRDefault="00F62C18" w:rsidP="00DC1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2C18" w:rsidRDefault="00F62C18" w:rsidP="00DC1459">
      <w:pPr>
        <w:spacing w:after="0" w:line="240" w:lineRule="auto"/>
      </w:pPr>
      <w:r>
        <w:separator/>
      </w:r>
    </w:p>
  </w:footnote>
  <w:footnote w:type="continuationSeparator" w:id="0">
    <w:p w:rsidR="00F62C18" w:rsidRDefault="00F62C18" w:rsidP="00DC14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5BF"/>
    <w:rsid w:val="00164789"/>
    <w:rsid w:val="001B423F"/>
    <w:rsid w:val="00226C61"/>
    <w:rsid w:val="002A742B"/>
    <w:rsid w:val="00337AAC"/>
    <w:rsid w:val="00430319"/>
    <w:rsid w:val="004A579C"/>
    <w:rsid w:val="004C1801"/>
    <w:rsid w:val="004D3E76"/>
    <w:rsid w:val="0065748C"/>
    <w:rsid w:val="007025BF"/>
    <w:rsid w:val="00724908"/>
    <w:rsid w:val="00C87F01"/>
    <w:rsid w:val="00DC1459"/>
    <w:rsid w:val="00EF0E0F"/>
    <w:rsid w:val="00F62C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55C2"/>
  <w15:chartTrackingRefBased/>
  <w15:docId w15:val="{9539D35A-EB4D-4051-ABE8-F96BDF967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DC1459"/>
    <w:pPr>
      <w:keepNext/>
      <w:spacing w:before="240" w:after="60" w:line="240" w:lineRule="auto"/>
      <w:outlineLvl w:val="0"/>
    </w:pPr>
    <w:rPr>
      <w:rFonts w:ascii="Cambria" w:eastAsia="Times New Roman" w:hAnsi="Cambria" w:cs="Times New Roman"/>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C1459"/>
    <w:rPr>
      <w:rFonts w:ascii="Cambria" w:eastAsia="Times New Roman" w:hAnsi="Cambria" w:cs="Times New Roman"/>
      <w:b/>
      <w:bCs/>
      <w:kern w:val="32"/>
      <w:sz w:val="32"/>
      <w:szCs w:val="32"/>
      <w:lang w:eastAsia="ru-RU"/>
    </w:rPr>
  </w:style>
  <w:style w:type="character" w:styleId="a3">
    <w:name w:val="footnote reference"/>
    <w:basedOn w:val="a0"/>
    <w:rsid w:val="00DC1459"/>
    <w:rPr>
      <w:vertAlign w:val="superscript"/>
    </w:rPr>
  </w:style>
  <w:style w:type="paragraph" w:styleId="a4">
    <w:name w:val="footnote text"/>
    <w:aliases w:val="fn,Footnote Text Char1,Footnote Text Char Char,Footnote Text Char Char1,Footnote Text Char3 Char Char,Footnote Text Char2 Char Char1 Char,Footnote Text Char Char1 Char Char1 Char,FT,Style 50,ft,FT Char Cha,SD Footnote Text,Footnote Text AG"/>
    <w:basedOn w:val="a"/>
    <w:link w:val="a5"/>
    <w:qFormat/>
    <w:rsid w:val="00DC1459"/>
    <w:pPr>
      <w:spacing w:after="0" w:line="240" w:lineRule="auto"/>
    </w:pPr>
    <w:rPr>
      <w:rFonts w:ascii="Times New Roman" w:eastAsia="Times New Roman" w:hAnsi="Times New Roman" w:cs="Times New Roman"/>
      <w:sz w:val="20"/>
      <w:szCs w:val="20"/>
      <w:lang w:eastAsia="ru-RU"/>
    </w:rPr>
  </w:style>
  <w:style w:type="character" w:customStyle="1" w:styleId="a5">
    <w:name w:val="Текст сноски Знак"/>
    <w:aliases w:val="fn Знак,Footnote Text Char1 Знак,Footnote Text Char Char Знак,Footnote Text Char Char1 Знак,Footnote Text Char3 Char Char Знак,Footnote Text Char2 Char Char1 Char Знак,Footnote Text Char Char1 Char Char1 Char Знак,FT Знак,Style 50 Знак"/>
    <w:basedOn w:val="a0"/>
    <w:link w:val="a4"/>
    <w:rsid w:val="00DC1459"/>
    <w:rPr>
      <w:rFonts w:ascii="Times New Roman" w:eastAsia="Times New Roman" w:hAnsi="Times New Roman" w:cs="Times New Roman"/>
      <w:sz w:val="20"/>
      <w:szCs w:val="20"/>
      <w:lang w:eastAsia="ru-RU"/>
    </w:rPr>
  </w:style>
  <w:style w:type="paragraph" w:customStyle="1" w:styleId="ConsPlusNonformat">
    <w:name w:val="ConsPlusNonformat"/>
    <w:rsid w:val="00430319"/>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6">
    <w:name w:val="Body Text"/>
    <w:aliases w:val="bt,Подпись1,Основной текст_отчет,Ïîäïèñü1,Iiaienu1,???????1,Oaeno1,Òåêñò1,Iniiaiie oaeno,Caa1,Текст1,Bodytext,AvtalBrödtext,ändrad,AvtalBr,AvtalBrцdtext,дndrad,BodyText,таблица,BT,AvtalBr, Знак2"/>
    <w:basedOn w:val="a"/>
    <w:link w:val="a7"/>
    <w:unhideWhenUsed/>
    <w:qFormat/>
    <w:rsid w:val="00C87F01"/>
    <w:pPr>
      <w:spacing w:after="120" w:line="276" w:lineRule="auto"/>
    </w:pPr>
    <w:rPr>
      <w:rFonts w:ascii="Calibri" w:eastAsia="Calibri" w:hAnsi="Calibri" w:cs="Times New Roman"/>
      <w:lang w:eastAsia="ru-RU"/>
    </w:rPr>
  </w:style>
  <w:style w:type="character" w:customStyle="1" w:styleId="a7">
    <w:name w:val="Основной текст Знак"/>
    <w:aliases w:val="bt Знак,Подпись1 Знак,Основной текст_отчет Знак,Ïîäïèñü1 Знак,Iiaienu1 Знак,???????1 Знак,Oaeno1 Знак,Òåêñò1 Знак,Iniiaiie oaeno Знак,Caa1 Знак,Текст1 Знак,Bodytext Знак,AvtalBrödtext Знак,ändrad Знак,AvtalBr Знак,AvtalBrцdtext Знак"/>
    <w:basedOn w:val="a0"/>
    <w:link w:val="a6"/>
    <w:rsid w:val="00C87F01"/>
    <w:rPr>
      <w:rFonts w:ascii="Calibri" w:eastAsia="Calibri"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240</Words>
  <Characters>1373</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Арсланова Милеуша Ильяровна</dc:creator>
  <cp:keywords/>
  <dc:description/>
  <cp:lastModifiedBy>Арсланова Милеуша Ильяровна</cp:lastModifiedBy>
  <cp:revision>8</cp:revision>
  <dcterms:created xsi:type="dcterms:W3CDTF">2023-10-23T06:17:00Z</dcterms:created>
  <dcterms:modified xsi:type="dcterms:W3CDTF">2023-11-02T05:46:00Z</dcterms:modified>
</cp:coreProperties>
</file>