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Инструкция по эксплуатации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ПО «FinBuild»</w:t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1. Общие сведения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2. Описание и назначение ПО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3. Процесс запуска ПО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4. Уровень подготовки пользователей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5. Основные компоненты ПО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6. Выполнение основной задачи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7. Процесс завершения работы ПО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sz w:val="24"/>
        </w:rPr>
        <w:t>8. Контакты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Общие сведения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Данный документ является руководством по эксплуатации программного обеспечения «FinBuild» (далее – ПО).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Все исключительные права на ПО принадлежат ООО «________».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 имеет пользовательский графический интерфейс и доступно по ссылке https://finbuild.ru.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 разработано с целью организации полного цикла работы с заявками на банковские гарантии и иные финансовые продукты для бизнеса в едином цифровом контуре: от создания заявки и документооборота до взаимодействия с банками и контроля статусов.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Описание и назначение ПО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 «FinBuild» – клиент-серверное веб-приложение (программа для ЭВМ), предназначенное для совместной работы клиентов, партнёров, сотрудников платформы, заказчиков и представителей банков при оформлении и сопровождении финансовых заявок.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 позволяет осуществлять: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регистрацию и авторизацию пользователей;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создание и ведение заявок на банковские гарантии и кредитные продукты;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подбор банковских продуктов и предварительный расчёт лимитов;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загрузку, просмотр и выгрузку документов;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коммуникацию участников процесса в чатах;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отправку пакета документов в банк и сопровождение рассмотрения;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работу представителей банка в отдельном личном кабинете;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проведение банковской оценки кредитоспособности;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получение аналитики по компании;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администрирование пользователей, прав доступа и каталога продуктов;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обращение в службу поддержки.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Процесс запуска ПО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запуска ПО пользователю необходимо открыть поддерживаемый браузер и перейти по адресу https://finbuild.ru.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Далее пользователь выполняет вход в личный кабинет, указывая адрес электронной почты (логин) и пароль. При отсутствии учётной записи пользователь проходит регистрацию (для доступных ролей саморегистрации) либо получает доступ от оператора сервиса.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После успешной авторизации открывается интерфейс личного кабинета в соответствии с ролью пользователя.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Уровень подготовки пользователей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Пользователям не нужно проходить специальную дополнительную подготовку для работы с ПО.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Пользователи ПО должны обладать следующими минимальными навыками: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уверенная работа с персональным компьютером или иным устройством, имеющим доступ в сеть Интернет;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навыки работы с веб-браузером;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умение пользоваться электронной почтой;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базовые навыки работы с электронными документами (просмотр и загрузка файлов).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Основные компоненты ПО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Ниже описаны основные экраны (окна) пользовательского интерфейса ПО и их назначение.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Страница входа (авторизация)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Данное окно доступно по адресу сервиса до входа в систему. Здесь пользователь проходит авторизацию для доступа к личному кабинету.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sz w:val="24"/>
        </w:rPr>
        <w:t>Что отображается: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поля для ввода адреса электронной почты и пароля;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кнопка входа в систему;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ссылка на регистрацию (при наличии).</w:t>
      </w:r>
    </w:p>
    <w:p>
      <w:pPr>
        <w:spacing w:before="80" w:after="40"/>
        <w:jc w:val="both"/>
      </w:pPr>
      <w:r>
        <w:rPr>
          <w:rFonts w:ascii="Times New Roman" w:hAnsi="Times New Roman" w:eastAsia="Times New Roman"/>
          <w:b/>
          <w:sz w:val="24"/>
        </w:rPr>
        <w:t>Рекомендации по использованию: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проверяйте корректность ввода логина и пароля;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при утрате доступа обратитесь в техническую поддержку.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Страница регистрации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данное окно пользователь попадает при выборе регистрации. Здесь он может создать учётную запись для доступа к аккаунту.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sz w:val="24"/>
        </w:rPr>
        <w:t>Что отображается: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выбор типа учётной записи;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поля для ввода регистрационных данных;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кнопка подтверждения регистрации.</w:t>
      </w:r>
    </w:p>
    <w:p>
      <w:pPr>
        <w:spacing w:before="80" w:after="40"/>
        <w:jc w:val="both"/>
      </w:pPr>
      <w:r>
        <w:rPr>
          <w:rFonts w:ascii="Times New Roman" w:hAnsi="Times New Roman" w:eastAsia="Times New Roman"/>
          <w:b/>
          <w:sz w:val="24"/>
        </w:rPr>
        <w:t>Рекомендации по использованию: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заполняйте данные внимательно и без ошибок;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после регистрации выполните вход в личный кабинет.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Главная страница личного кабинета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Отображается после успешного входа. Служит для быстрого перехода к основным разделам и просмотра сводной информации.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sz w:val="24"/>
        </w:rPr>
        <w:t>Что отображается: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навигационное меню разделов;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сводка по заявкам и статусам (в пределах прав пользователя);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быстрые действия (например, переход к заявкам или созданию заявки).</w:t>
      </w:r>
    </w:p>
    <w:p>
      <w:pPr>
        <w:spacing w:before="80" w:after="40"/>
        <w:jc w:val="both"/>
      </w:pPr>
      <w:r>
        <w:rPr>
          <w:rFonts w:ascii="Times New Roman" w:hAnsi="Times New Roman" w:eastAsia="Times New Roman"/>
          <w:b/>
          <w:sz w:val="24"/>
        </w:rPr>
        <w:t>Рекомендации по использованию: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используйте меню для перехода между разделами;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состав пунктов меню зависит от роли пользователя.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Список заявок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Раздел предназначен для просмотра заявок, доступных пользователю, и перехода в карточку выбранной заявки.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sz w:val="24"/>
        </w:rPr>
        <w:t>Что отображается: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перечень заявок со статусами;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средства поиска и фильтрации;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элементы перехода к созданию заявки (при наличии прав).</w:t>
      </w:r>
    </w:p>
    <w:p>
      <w:pPr>
        <w:spacing w:before="80" w:after="40"/>
        <w:jc w:val="both"/>
      </w:pPr>
      <w:r>
        <w:rPr>
          <w:rFonts w:ascii="Times New Roman" w:hAnsi="Times New Roman" w:eastAsia="Times New Roman"/>
          <w:b/>
          <w:sz w:val="24"/>
        </w:rPr>
        <w:t>Рекомендации по использованию: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используйте фильтры для быстрого поиска нужной заявки;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открывайте карточку заявки для детальной работы.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Карточка заявки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Основной рабочий экран сопровождения заявки. Содержит вкладки со сведениями, продуктами, документами, аналитикой, структурой, дорожной картой, методикой (при наличии прав) и чатами.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sz w:val="24"/>
        </w:rPr>
        <w:t>Что отображается: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основные сведения о заявке и её статусе;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вкладки разделов карточки;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элементы управления в рамках доступных прав.</w:t>
      </w:r>
    </w:p>
    <w:p>
      <w:pPr>
        <w:spacing w:before="80" w:after="40"/>
        <w:jc w:val="both"/>
      </w:pPr>
      <w:r>
        <w:rPr>
          <w:rFonts w:ascii="Times New Roman" w:hAnsi="Times New Roman" w:eastAsia="Times New Roman"/>
          <w:b/>
          <w:sz w:val="24"/>
        </w:rPr>
        <w:t>Рекомендации по использованию: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переключайтесь между вкладками последовательно по мере обработки заявки;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загружайте документы в соответствующие разделы;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используйте чат для коммуникации с участниками процесса.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Раздел продуктов заявки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Предназначен для просмотра и ведения банковских продуктов, подобранных по заявке.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sz w:val="24"/>
        </w:rPr>
        <w:t>Что отображается: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список продуктов и их статусы;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элементы добавления и открытия карточки продукта (при наличии прав).</w:t>
      </w:r>
    </w:p>
    <w:p>
      <w:pPr>
        <w:spacing w:before="80" w:after="40"/>
        <w:jc w:val="both"/>
      </w:pPr>
      <w:r>
        <w:rPr>
          <w:rFonts w:ascii="Times New Roman" w:hAnsi="Times New Roman" w:eastAsia="Times New Roman"/>
          <w:b/>
          <w:sz w:val="24"/>
        </w:rPr>
        <w:t>Рекомендации по использованию: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контролируйте актуальный статус каждого продукта;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для детальной работы открывайте карточку конкретного продукта.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Карточка продукта / работа с банком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Экран сопровождения конкретного банковского продукта: документы, переписка и отправка пакета в банк.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sz w:val="24"/>
        </w:rPr>
        <w:t>Что отображается: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сведения о продукте и статусе;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раздел документов и запросов документов;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чат по продукту;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блок работы с банком (формирование и отправка пакета, история статусов).</w:t>
      </w:r>
    </w:p>
    <w:p>
      <w:pPr>
        <w:spacing w:before="80" w:after="40"/>
        <w:jc w:val="both"/>
      </w:pPr>
      <w:r>
        <w:rPr>
          <w:rFonts w:ascii="Times New Roman" w:hAnsi="Times New Roman" w:eastAsia="Times New Roman"/>
          <w:b/>
          <w:sz w:val="24"/>
        </w:rPr>
        <w:t>Рекомендации по использованию: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перед отправкой в банк убедитесь в комплектности документов;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отслеживайте ответы и статусы после передачи пакета.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Личный кабинет банка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Отдельный интерфейс для пользователей с ролью «Банк». Предназначен для рассмотрения поступивших заявок.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sz w:val="24"/>
        </w:rPr>
        <w:t>Что отображается: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список заявок банка;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карточка заявки с доступными вкладками (сведения, документы, аналитика, структура, методика — при наличии настройки);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элементы смены статуса и чат с менеджером.</w:t>
      </w:r>
    </w:p>
    <w:p>
      <w:pPr>
        <w:spacing w:before="80" w:after="40"/>
        <w:jc w:val="both"/>
      </w:pPr>
      <w:r>
        <w:rPr>
          <w:rFonts w:ascii="Times New Roman" w:hAnsi="Times New Roman" w:eastAsia="Times New Roman"/>
          <w:b/>
          <w:sz w:val="24"/>
        </w:rPr>
        <w:t>Рекомендации по использованию: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работайте только с заявками своего банковского кабинета;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фиксируйте статусы рассмотрения и при необходимости оставляйте комментарии.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Банковская методика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Раздел оценки кредитоспособности принципала. Доступен пользователям с соответствующими правами и/или настройками портала банка.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sz w:val="24"/>
        </w:rPr>
        <w:t>Что отображается: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блоки заполнения оценки;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результаты расчёта;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элементы сохранения черновика и фиксации версии.</w:t>
      </w:r>
    </w:p>
    <w:p>
      <w:pPr>
        <w:spacing w:before="80" w:after="40"/>
        <w:jc w:val="both"/>
      </w:pPr>
      <w:r>
        <w:rPr>
          <w:rFonts w:ascii="Times New Roman" w:hAnsi="Times New Roman" w:eastAsia="Times New Roman"/>
          <w:b/>
          <w:sz w:val="24"/>
        </w:rPr>
        <w:t>Рекомендации по использованию: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заполняйте разделы последовательно;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перед фиксацией версии проверьте полноту данных.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Аналитика по компании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Инструмент просмотра результатов анализа организации по идентификатору.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sz w:val="24"/>
        </w:rPr>
        <w:t>Что отображается: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поле ввода идентификатора организации;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результаты анализа;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история запросов (при наличии).</w:t>
      </w:r>
    </w:p>
    <w:p>
      <w:pPr>
        <w:spacing w:before="80" w:after="40"/>
        <w:jc w:val="both"/>
      </w:pPr>
      <w:r>
        <w:rPr>
          <w:rFonts w:ascii="Times New Roman" w:hAnsi="Times New Roman" w:eastAsia="Times New Roman"/>
          <w:b/>
          <w:sz w:val="24"/>
        </w:rPr>
        <w:t>Рекомендации по использованию: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проверяйте корректность введённого идентификатора;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используйте результаты как вспомогательную информацию при работе с заявкой.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Подбор продуктов и расчёт лимитов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Инструменты предварительного подбора банковских программ и расчёта лимитов.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sz w:val="24"/>
        </w:rPr>
        <w:t>Что отображается: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поля параметров подбора/расчёта;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результаты подбора или расчёта;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элементы запуска расчёта.</w:t>
      </w:r>
    </w:p>
    <w:p>
      <w:pPr>
        <w:spacing w:before="80" w:after="40"/>
        <w:jc w:val="both"/>
      </w:pPr>
      <w:r>
        <w:rPr>
          <w:rFonts w:ascii="Times New Roman" w:hAnsi="Times New Roman" w:eastAsia="Times New Roman"/>
          <w:b/>
          <w:sz w:val="24"/>
        </w:rPr>
        <w:t>Рекомендации по использованию: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задавайте параметры в соответствии с условиями заявки;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результат носит справочный характер для дальнейшей работы.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Личный кабинет (профиль пользователя)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Раздел управления сведениями учётной записи.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sz w:val="24"/>
        </w:rPr>
        <w:t>Что отображается: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поля профиля;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параметры уведомлений;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элементы смены пароля и сохранения изменений.</w:t>
      </w:r>
    </w:p>
    <w:p>
      <w:pPr>
        <w:spacing w:before="80" w:after="40"/>
        <w:jc w:val="both"/>
      </w:pPr>
      <w:r>
        <w:rPr>
          <w:rFonts w:ascii="Times New Roman" w:hAnsi="Times New Roman" w:eastAsia="Times New Roman"/>
          <w:b/>
          <w:sz w:val="24"/>
        </w:rPr>
        <w:t>Рекомендации по использованию: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поддерживайте актуальные контактные данные;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при смене пароля используйте устойчивую комбинацию.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Поддержка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Раздел для создания обращений в техническую поддержку и ведения переписки по ним.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sz w:val="24"/>
        </w:rPr>
        <w:t>Что отображается: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список обращений;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форма создания обращения;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история переписки.</w:t>
      </w:r>
    </w:p>
    <w:p>
      <w:pPr>
        <w:spacing w:before="80" w:after="40"/>
        <w:jc w:val="both"/>
      </w:pPr>
      <w:r>
        <w:rPr>
          <w:rFonts w:ascii="Times New Roman" w:hAnsi="Times New Roman" w:eastAsia="Times New Roman"/>
          <w:b/>
          <w:sz w:val="24"/>
        </w:rPr>
        <w:t>Рекомендации по использованию: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формулируйте тему и описание обращения понятно;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при необходимости прикладывайте файлы.</w:t>
      </w:r>
    </w:p>
    <w:p>
      <w:pPr>
        <w:spacing w:before="200" w:after="80"/>
        <w:jc w:val="both"/>
      </w:pPr>
      <w:r>
        <w:rPr>
          <w:rFonts w:ascii="Times New Roman" w:hAnsi="Times New Roman" w:eastAsia="Times New Roman"/>
          <w:b/>
          <w:sz w:val="24"/>
        </w:rPr>
        <w:t>Разделы администрирования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Доступны уполномоченным сотрудникам платформы. Включают управление пользователями, правами доступа, каталогом продуктов и статистикой.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sz w:val="24"/>
        </w:rPr>
        <w:t>Что отображается: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списки и карточки объектов администрирования;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формы создания и редактирования;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элементы сохранения настроек.</w:t>
      </w:r>
    </w:p>
    <w:p>
      <w:pPr>
        <w:spacing w:before="80" w:after="40"/>
        <w:jc w:val="both"/>
      </w:pPr>
      <w:r>
        <w:rPr>
          <w:rFonts w:ascii="Times New Roman" w:hAnsi="Times New Roman" w:eastAsia="Times New Roman"/>
          <w:b/>
          <w:sz w:val="24"/>
        </w:rPr>
        <w:t>Рекомендации по использованию: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изменяйте права и роли осознанно;</w:t>
      </w:r>
    </w:p>
    <w:p>
      <w:pPr>
        <w:pStyle w:val="ListBullet"/>
        <w:spacing w:after="40"/>
        <w:ind w:left="709"/>
        <w:jc w:val="both"/>
      </w:pPr>
      <w:r>
        <w:rPr>
          <w:rFonts w:ascii="Times New Roman" w:hAnsi="Times New Roman" w:eastAsia="Times New Roman"/>
          <w:b w:val="0"/>
          <w:sz w:val="24"/>
        </w:rPr>
        <w:t>после изменений проверьте доступ соответствующих пользователей.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Выполнение основной задачи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Основная задача ПО — сопровождение заявки на банковскую гарантию (либо иной финансовый продукт) от создания до результата рассмотрения. Типовая последовательность действий пользователя выглядит следующим образом: пользователь создаёт заявку и заполняет её параметры; затем загружает необходимые документы и при необходимости использует инструменты подбора продуктов и аналитики. Сотрудник платформы проверяет заявку, ведёт продукты, запрашивает недостающие документы и при готовности направляет пакет в банк. Представитель банка в личном кабинете банка просматривает материалы, ведёт переписку, при необходимости заполняет оценку и устанавливает статус рассмотрения. Участники процесса контролируют статусы и продолжают работу в карточке заявки до завершения цикла.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Подробные сценарии по ролям приведены в документе «Описание функциональных характеристик ПО «FinBuild»».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Процесс завершения работы ПО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завершения работы с ПО пользователю необходимо выполнить выход из учётной записи (при наличии соответствующей команды в интерфейсе) и/или закрыть вкладку (окно) браузера с сайтом сервиса.</w:t>
      </w:r>
    </w:p>
    <w:p>
      <w:pPr>
        <w:spacing w:before="240" w:after="120"/>
        <w:jc w:val="both"/>
      </w:pPr>
      <w:r>
        <w:rPr>
          <w:rFonts w:ascii="Times New Roman" w:hAnsi="Times New Roman" w:eastAsia="Times New Roman"/>
          <w:b/>
          <w:sz w:val="28"/>
        </w:rPr>
        <w:t>Контакты</w:t>
      </w:r>
    </w:p>
    <w:p>
      <w:pPr>
        <w:spacing w:before="0" w:after="60"/>
        <w:jc w:val="both"/>
      </w:pPr>
      <w:r>
        <w:rPr>
          <w:rFonts w:ascii="Times New Roman" w:hAnsi="Times New Roman" w:eastAsia="Times New Roman"/>
          <w:b w:val="0"/>
          <w:sz w:val="24"/>
        </w:rPr>
        <w:t>Контакты технической поддержки:</w:t>
      </w:r>
    </w:p>
    <w:p>
      <w:pPr>
        <w:jc w:val="both"/>
      </w:pPr>
      <w:r>
        <w:rPr>
          <w:rFonts w:ascii="Times New Roman" w:hAnsi="Times New Roman" w:eastAsia="Times New Roman"/>
          <w:b/>
          <w:sz w:val="24"/>
        </w:rPr>
        <w:t xml:space="preserve">Тел.: </w:t>
      </w:r>
      <w:r>
        <w:rPr>
          <w:rFonts w:ascii="Times New Roman" w:hAnsi="Times New Roman" w:eastAsia="Times New Roman"/>
          <w:b w:val="0"/>
          <w:sz w:val="24"/>
        </w:rPr>
        <w:t>________</w:t>
      </w:r>
    </w:p>
    <w:p>
      <w:pPr>
        <w:jc w:val="both"/>
      </w:pPr>
      <w:r>
        <w:rPr>
          <w:rFonts w:ascii="Times New Roman" w:hAnsi="Times New Roman" w:eastAsia="Times New Roman"/>
          <w:b/>
          <w:sz w:val="24"/>
        </w:rPr>
        <w:t xml:space="preserve">e-mail: </w:t>
      </w:r>
      <w:r>
        <w:rPr>
          <w:rFonts w:ascii="Times New Roman" w:hAnsi="Times New Roman" w:eastAsia="Times New Roman"/>
          <w:b w:val="0"/>
          <w:sz w:val="24"/>
        </w:rPr>
        <w:t>info@p-fg.com</w:t>
      </w:r>
    </w:p>
    <w:p>
      <w:pPr>
        <w:jc w:val="both"/>
      </w:pPr>
      <w:r>
        <w:rPr>
          <w:rFonts w:ascii="Times New Roman" w:hAnsi="Times New Roman" w:eastAsia="Times New Roman"/>
          <w:b/>
          <w:sz w:val="24"/>
        </w:rPr>
        <w:t xml:space="preserve">Сайт: </w:t>
      </w:r>
      <w:r>
        <w:rPr>
          <w:rFonts w:ascii="Times New Roman" w:hAnsi="Times New Roman" w:eastAsia="Times New Roman"/>
          <w:b w:val="0"/>
          <w:sz w:val="24"/>
        </w:rPr>
        <w:t>https://finbuild.ru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