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both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before="0" w:after="120"/>
        <w:jc w:val="both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before="0" w:after="120"/>
        <w:jc w:val="both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before="0" w:after="120"/>
        <w:jc w:val="both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before="0" w:after="120"/>
        <w:jc w:val="both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before="0" w:after="0"/>
        <w:jc w:val="center"/>
      </w:pPr>
      <w:r>
        <w:rPr>
          <w:rFonts w:ascii="Times New Roman" w:hAnsi="Times New Roman" w:eastAsia="Times New Roman"/>
          <w:b/>
          <w:sz w:val="28"/>
        </w:rPr>
        <w:t>Инструкция по установке и началу работы</w:t>
      </w:r>
    </w:p>
    <w:p>
      <w:pPr>
        <w:spacing w:before="0" w:after="0"/>
        <w:jc w:val="center"/>
      </w:pPr>
      <w:r>
        <w:rPr>
          <w:rFonts w:ascii="Times New Roman" w:hAnsi="Times New Roman" w:eastAsia="Times New Roman"/>
          <w:b/>
          <w:sz w:val="28"/>
        </w:rPr>
        <w:t>ПО «FinBuild»</w:t>
      </w:r>
    </w:p>
    <w:p>
      <w:pPr>
        <w:spacing w:before="0" w:after="120"/>
        <w:jc w:val="both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before="0" w:after="120"/>
        <w:jc w:val="both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before="0" w:after="120"/>
        <w:jc w:val="both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before="0" w:after="120"/>
        <w:jc w:val="both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before="0" w:after="120"/>
        <w:jc w:val="both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before="0" w:after="120"/>
        <w:jc w:val="both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before="240" w:after="120"/>
        <w:jc w:val="both"/>
      </w:pPr>
      <w:r>
        <w:rPr>
          <w:rFonts w:ascii="Times New Roman" w:hAnsi="Times New Roman" w:eastAsia="Times New Roman"/>
          <w:b/>
          <w:sz w:val="28"/>
        </w:rPr>
        <w:t>Содержание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sz w:val="24"/>
        </w:rPr>
        <w:t>1. Аннотация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sz w:val="24"/>
        </w:rPr>
        <w:t>2. Системные требования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sz w:val="24"/>
        </w:rPr>
        <w:t>3. Процесс установки ПО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sz w:val="24"/>
        </w:rPr>
        <w:t>4. Начало работы с ПО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sz w:val="24"/>
        </w:rPr>
        <w:t>5. Процесс завершения работы ПО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sz w:val="24"/>
        </w:rPr>
        <w:t>6. Контакты</w:t>
      </w:r>
    </w:p>
    <w:p>
      <w:pPr>
        <w:spacing w:before="240" w:after="120"/>
        <w:jc w:val="both"/>
      </w:pPr>
      <w:r>
        <w:rPr>
          <w:rFonts w:ascii="Times New Roman" w:hAnsi="Times New Roman" w:eastAsia="Times New Roman"/>
          <w:b/>
          <w:sz w:val="28"/>
        </w:rPr>
        <w:t>Аннотация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Настоящий документ содержит информацию, необходимую для установки и начала работы с ПО «FinBuild».</w:t>
      </w:r>
    </w:p>
    <w:p>
      <w:pPr>
        <w:spacing w:before="240" w:after="120"/>
        <w:jc w:val="both"/>
      </w:pPr>
      <w:r>
        <w:rPr>
          <w:rFonts w:ascii="Times New Roman" w:hAnsi="Times New Roman" w:eastAsia="Times New Roman"/>
          <w:b/>
          <w:sz w:val="28"/>
        </w:rPr>
        <w:t>Системные требования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ПО «FinBuild» является клиент-серверным веб-приложением и предоставляется пользователю в виде интернет-сервиса (SaaS). Установка клиентского приложения на устройство пользователя не требуется. Для работы достаточно современного веб-браузера и доступа к сети Интернет.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Минимальные требования к устройству пользователя:</w:t>
      </w:r>
    </w:p>
    <w:p>
      <w:pPr>
        <w:pStyle w:val="ListBullet"/>
        <w:spacing w:after="4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оперативная память: не менее 2 Гб;</w:t>
      </w:r>
    </w:p>
    <w:p>
      <w:pPr>
        <w:pStyle w:val="ListBullet"/>
        <w:spacing w:after="4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процессор: x86_64 / совместимая архитектура (ПК) либо современный мобильный процессор;</w:t>
      </w:r>
    </w:p>
    <w:p>
      <w:pPr>
        <w:pStyle w:val="ListBullet"/>
        <w:spacing w:after="4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операционная система: Microsoft Windows, macOS или иной дистрибутив, поддерживающий работу актуальных браузеров;</w:t>
      </w:r>
    </w:p>
    <w:p>
      <w:pPr>
        <w:pStyle w:val="ListBullet"/>
        <w:spacing w:after="4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доступ к сети Интернет.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Для использования ПО необходим браузер. Поддерживаемыми считаются нижеперечисленные браузеры, начиная с актуальных стабильных версий и по последнюю:</w:t>
      </w:r>
    </w:p>
    <w:p>
      <w:pPr>
        <w:pStyle w:val="ListBullet"/>
        <w:spacing w:after="4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Google Chrome;</w:t>
      </w:r>
    </w:p>
    <w:p>
      <w:pPr>
        <w:pStyle w:val="ListBullet"/>
        <w:spacing w:after="4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Яндекс Браузер;</w:t>
      </w:r>
    </w:p>
    <w:p>
      <w:pPr>
        <w:pStyle w:val="ListBullet"/>
        <w:spacing w:after="4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Mozilla Firefox;</w:t>
      </w:r>
    </w:p>
    <w:p>
      <w:pPr>
        <w:pStyle w:val="ListBullet"/>
        <w:spacing w:after="4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Opera;</w:t>
      </w:r>
    </w:p>
    <w:p>
      <w:pPr>
        <w:pStyle w:val="ListBullet"/>
        <w:spacing w:after="4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Microsoft Edge;</w:t>
      </w:r>
    </w:p>
    <w:p>
      <w:pPr>
        <w:pStyle w:val="ListBullet"/>
        <w:spacing w:after="4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Safari.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Серверная часть ПО разворачивается и сопровождается правообладателем (оператором сервиса). Пользователю не требуется самостоятельно устанавливать серверные компоненты (веб-сервер, СУБД, интерпретатор PHP и др.).</w:t>
      </w:r>
    </w:p>
    <w:p>
      <w:pPr>
        <w:spacing w:before="240" w:after="120"/>
        <w:jc w:val="both"/>
      </w:pPr>
      <w:r>
        <w:rPr>
          <w:rFonts w:ascii="Times New Roman" w:hAnsi="Times New Roman" w:eastAsia="Times New Roman"/>
          <w:b/>
          <w:sz w:val="28"/>
        </w:rPr>
        <w:t>Процесс установки ПО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ПО «FinBuild» относится к клиент-серверному программному обеспечению с доступом через браузер. Отдельная установка дистрибутива на компьютер или мобильное устройство пользователя не выполняется.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Для начала работы пользователю необходимо:</w:t>
      </w:r>
    </w:p>
    <w:p>
      <w:pPr>
        <w:spacing w:before="0" w:after="60"/>
        <w:jc w:val="both"/>
      </w:pPr>
      <w:r>
        <w:rPr>
          <w:rFonts w:ascii="Times New Roman" w:hAnsi="Times New Roman" w:eastAsia="Times New Roman"/>
          <w:b w:val="0"/>
          <w:sz w:val="24"/>
        </w:rPr>
        <w:t>1. Перейти на сайт https://finbuild.ru в поддерживаемом браузере.</w:t>
      </w:r>
    </w:p>
    <w:p>
      <w:pPr>
        <w:spacing w:before="0" w:after="60"/>
        <w:jc w:val="both"/>
      </w:pPr>
      <w:r>
        <w:rPr>
          <w:rFonts w:ascii="Times New Roman" w:hAnsi="Times New Roman" w:eastAsia="Times New Roman"/>
          <w:b w:val="0"/>
          <w:sz w:val="24"/>
        </w:rPr>
        <w:t>2. При отсутствии учётной записи пройти регистрацию (для ролей «Клиент» или «Партнёр») либо получить доступ от оператора сервиса (для сотрудников платформы, банка и иных ролей).</w:t>
      </w:r>
    </w:p>
    <w:p>
      <w:pPr>
        <w:spacing w:before="0" w:after="60"/>
        <w:jc w:val="both"/>
      </w:pPr>
      <w:r>
        <w:rPr>
          <w:rFonts w:ascii="Times New Roman" w:hAnsi="Times New Roman" w:eastAsia="Times New Roman"/>
          <w:b w:val="0"/>
          <w:sz w:val="24"/>
        </w:rPr>
        <w:t>3. Выполнить вход в личный кабинет, указав адрес электронной почты (логин) и пароль.</w:t>
      </w:r>
    </w:p>
    <w:p>
      <w:pPr>
        <w:spacing w:before="0" w:after="120"/>
        <w:jc w:val="both"/>
      </w:pPr>
      <w:r>
        <w:rPr>
          <w:rFonts w:ascii="Times New Roman" w:hAnsi="Times New Roman" w:eastAsia="Times New Roman"/>
          <w:b w:val="0"/>
          <w:sz w:val="24"/>
        </w:rPr>
        <w:t>4. После успешной авторизации открывается личный кабинет в соответствии с ролью пользователя.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Мобильное приложение в магазинах Google Play / App Store для работы с ПО не используется. Доступ осуществляется через браузер.</w:t>
      </w:r>
    </w:p>
    <w:p>
      <w:pPr>
        <w:spacing w:before="240" w:after="120"/>
        <w:jc w:val="both"/>
      </w:pPr>
      <w:r>
        <w:rPr>
          <w:rFonts w:ascii="Times New Roman" w:hAnsi="Times New Roman" w:eastAsia="Times New Roman"/>
          <w:b/>
          <w:sz w:val="28"/>
        </w:rPr>
        <w:t>Начало работы с ПО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После входа в личный кабинет пользователь получает доступ к разделам интерфейса, доступным его роли, в том числе:</w:t>
      </w:r>
    </w:p>
    <w:p>
      <w:pPr>
        <w:pStyle w:val="ListBullet"/>
        <w:spacing w:after="4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к списку и карточкам заявок;</w:t>
      </w:r>
    </w:p>
    <w:p>
      <w:pPr>
        <w:pStyle w:val="ListBullet"/>
        <w:spacing w:after="4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к документам и переписке в рамках доступных заявок;</w:t>
      </w:r>
    </w:p>
    <w:p>
      <w:pPr>
        <w:pStyle w:val="ListBullet"/>
        <w:spacing w:after="4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к инструментам подбора продуктов и аналитики (при наличии прав);</w:t>
      </w:r>
    </w:p>
    <w:p>
      <w:pPr>
        <w:pStyle w:val="ListBullet"/>
        <w:spacing w:after="4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к личному кабинету банка — для пользователей с ролью «Банк»;</w:t>
      </w:r>
    </w:p>
    <w:p>
      <w:pPr>
        <w:pStyle w:val="ListBullet"/>
        <w:spacing w:after="4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к разделам администрирования — для уполномоченных сотрудников платформы.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Подробное описание функций и сценариев работы приведено в документе «Описание функциональных характеристик ПО «FinBuild»».</w:t>
      </w:r>
    </w:p>
    <w:p>
      <w:pPr>
        <w:spacing w:before="240" w:after="120"/>
        <w:jc w:val="both"/>
      </w:pPr>
      <w:r>
        <w:rPr>
          <w:rFonts w:ascii="Times New Roman" w:hAnsi="Times New Roman" w:eastAsia="Times New Roman"/>
          <w:b/>
          <w:sz w:val="28"/>
        </w:rPr>
        <w:t>Процесс завершения работы ПО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Для завершения работы с ПО пользователю необходимо выполнить выход из учётной записи (при наличии соответствующей команды в интерфейсе) и/или закрыть вкладку (окно) браузера с сайтом сервиса.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Отдельная процедура удаления клиентского приложения не требуется, поскольку клиентское приложение на устройство пользователя не устанавливается.</w:t>
      </w:r>
    </w:p>
    <w:p>
      <w:pPr>
        <w:spacing w:before="240" w:after="120"/>
        <w:jc w:val="both"/>
      </w:pPr>
      <w:r>
        <w:rPr>
          <w:rFonts w:ascii="Times New Roman" w:hAnsi="Times New Roman" w:eastAsia="Times New Roman"/>
          <w:b/>
          <w:sz w:val="28"/>
        </w:rPr>
        <w:t>Контакты</w:t>
      </w:r>
    </w:p>
    <w:p>
      <w:pPr>
        <w:spacing w:before="0" w:after="60"/>
        <w:jc w:val="both"/>
      </w:pPr>
      <w:r>
        <w:rPr>
          <w:rFonts w:ascii="Times New Roman" w:hAnsi="Times New Roman" w:eastAsia="Times New Roman"/>
          <w:b w:val="0"/>
          <w:sz w:val="24"/>
        </w:rPr>
        <w:t>Для контактов с командой разработчиков просьба обращаться по следующим контактам:</w:t>
      </w:r>
    </w:p>
    <w:p>
      <w:pPr>
        <w:jc w:val="both"/>
      </w:pPr>
      <w:r>
        <w:rPr>
          <w:rFonts w:ascii="Times New Roman" w:hAnsi="Times New Roman" w:eastAsia="Times New Roman"/>
          <w:b/>
          <w:sz w:val="24"/>
        </w:rPr>
        <w:t xml:space="preserve">e-mail: </w:t>
      </w:r>
      <w:r>
        <w:rPr>
          <w:rFonts w:ascii="Times New Roman" w:hAnsi="Times New Roman" w:eastAsia="Times New Roman"/>
          <w:b w:val="0"/>
          <w:sz w:val="24"/>
        </w:rPr>
        <w:t>info@p-fg.com</w:t>
      </w:r>
    </w:p>
    <w:p>
      <w:pPr>
        <w:jc w:val="both"/>
      </w:pPr>
      <w:r>
        <w:rPr>
          <w:rFonts w:ascii="Times New Roman" w:hAnsi="Times New Roman" w:eastAsia="Times New Roman"/>
          <w:b/>
          <w:sz w:val="24"/>
        </w:rPr>
        <w:t xml:space="preserve">Сайт: </w:t>
      </w:r>
      <w:r>
        <w:rPr>
          <w:rFonts w:ascii="Times New Roman" w:hAnsi="Times New Roman" w:eastAsia="Times New Roman"/>
          <w:b w:val="0"/>
          <w:sz w:val="24"/>
        </w:rPr>
        <w:t>https://finbuild.ru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