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211" w:rsidRPr="00620E8B" w:rsidRDefault="00D56211" w:rsidP="00D56211">
      <w:pPr>
        <w:jc w:val="center"/>
        <w:rPr>
          <w:rFonts w:ascii="Times New Roman" w:hAnsi="Times New Roman" w:cs="Times New Roman"/>
          <w:sz w:val="24"/>
        </w:rPr>
      </w:pPr>
      <w:r w:rsidRPr="00620E8B">
        <w:rPr>
          <w:rFonts w:ascii="Times New Roman" w:hAnsi="Times New Roman" w:cs="Times New Roman"/>
          <w:sz w:val="24"/>
        </w:rPr>
        <w:t>Write-Up</w:t>
      </w:r>
    </w:p>
    <w:p w:rsidR="00D56211" w:rsidRPr="00620E8B" w:rsidRDefault="00D56211" w:rsidP="00D56211">
      <w:pPr>
        <w:rPr>
          <w:rFonts w:ascii="Times New Roman" w:hAnsi="Times New Roman" w:cs="Times New Roman"/>
          <w:sz w:val="24"/>
        </w:rPr>
      </w:pPr>
      <w:proofErr w:type="spellStart"/>
      <w:r w:rsidRPr="00620E8B">
        <w:rPr>
          <w:rFonts w:ascii="Times New Roman" w:hAnsi="Times New Roman" w:cs="Times New Roman"/>
          <w:sz w:val="24"/>
        </w:rPr>
        <w:t>Anjin</w:t>
      </w:r>
      <w:proofErr w:type="spellEnd"/>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Dhruv</w:t>
      </w:r>
      <w:r w:rsidR="00FC6557">
        <w:rPr>
          <w:rFonts w:ascii="Times New Roman" w:hAnsi="Times New Roman" w:cs="Times New Roman"/>
          <w:sz w:val="24"/>
        </w:rPr>
        <w:t>- Worked on the LRU hit and miss functions(not implemented versions), performance assessment and write up</w:t>
      </w:r>
      <w:bookmarkStart w:id="0" w:name="_GoBack"/>
      <w:bookmarkEnd w:id="0"/>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Hao</w:t>
      </w:r>
      <w:r>
        <w:rPr>
          <w:rFonts w:ascii="Times New Roman" w:hAnsi="Times New Roman" w:cs="Times New Roman"/>
          <w:sz w:val="24"/>
        </w:rPr>
        <w:t xml:space="preserve">- Worked on branch prediction and implementing the </w:t>
      </w:r>
      <w:proofErr w:type="spellStart"/>
      <w:r>
        <w:rPr>
          <w:rFonts w:ascii="Times New Roman" w:hAnsi="Times New Roman" w:cs="Times New Roman"/>
          <w:sz w:val="24"/>
        </w:rPr>
        <w:t>push_pipeline_stage</w:t>
      </w:r>
      <w:proofErr w:type="spellEnd"/>
      <w:r>
        <w:rPr>
          <w:rFonts w:ascii="Times New Roman" w:hAnsi="Times New Roman" w:cs="Times New Roman"/>
          <w:sz w:val="24"/>
        </w:rPr>
        <w:t xml:space="preserve"> function</w:t>
      </w:r>
    </w:p>
    <w:p w:rsidR="00D56211" w:rsidRPr="00620E8B" w:rsidRDefault="00D56211" w:rsidP="00D56211">
      <w:pPr>
        <w:rPr>
          <w:rFonts w:ascii="Times New Roman" w:hAnsi="Times New Roman" w:cs="Times New Roman"/>
          <w:sz w:val="24"/>
        </w:rPr>
      </w:pPr>
      <w:r w:rsidRPr="00620E8B">
        <w:rPr>
          <w:rFonts w:ascii="Times New Roman" w:hAnsi="Times New Roman" w:cs="Times New Roman"/>
          <w:sz w:val="24"/>
        </w:rPr>
        <w:t>Jay</w:t>
      </w:r>
      <w:r>
        <w:rPr>
          <w:rFonts w:ascii="Times New Roman" w:hAnsi="Times New Roman" w:cs="Times New Roman"/>
          <w:sz w:val="24"/>
        </w:rPr>
        <w:t>- Worked on cache data structure and associated methods, some editing</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In our project we implemented several methods which allowed our pipeline to run accurately.</w:t>
      </w:r>
      <w:r>
        <w:rPr>
          <w:rFonts w:ascii="Times New Roman" w:hAnsi="Times New Roman" w:cs="Times New Roman"/>
          <w:sz w:val="24"/>
        </w:rPr>
        <w:t xml:space="preserve"> First we ask the user to enter in</w:t>
      </w:r>
      <w:r w:rsidRPr="00620E8B">
        <w:rPr>
          <w:rFonts w:ascii="Times New Roman" w:hAnsi="Times New Roman" w:cs="Times New Roman"/>
          <w:sz w:val="24"/>
        </w:rPr>
        <w:t xml:space="preserve"> a cache index, block size and associativity. We then make sure that we don’t not exceed the cache size of 10240. Next we dynamically create the cache and initialize the pipeline. We then go through and parse the</w:t>
      </w:r>
      <w:r>
        <w:rPr>
          <w:rFonts w:ascii="Times New Roman" w:hAnsi="Times New Roman" w:cs="Times New Roman"/>
          <w:sz w:val="24"/>
        </w:rPr>
        <w:t xml:space="preserve"> information in our trace file.</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Every time we parse one line, we check to see if the a</w:t>
      </w:r>
      <w:r>
        <w:rPr>
          <w:rFonts w:ascii="Times New Roman" w:hAnsi="Times New Roman" w:cs="Times New Roman"/>
          <w:sz w:val="24"/>
        </w:rPr>
        <w:t xml:space="preserve">ddress is already in our cache, using </w:t>
      </w:r>
      <w:proofErr w:type="spellStart"/>
      <w:r>
        <w:rPr>
          <w:rFonts w:ascii="Times New Roman" w:hAnsi="Times New Roman" w:cs="Times New Roman"/>
          <w:sz w:val="24"/>
        </w:rPr>
        <w:t>iplc_sim_trap_address</w:t>
      </w:r>
      <w:proofErr w:type="spellEnd"/>
      <w:r>
        <w:rPr>
          <w:rFonts w:ascii="Times New Roman" w:hAnsi="Times New Roman" w:cs="Times New Roman"/>
          <w:sz w:val="24"/>
        </w:rPr>
        <w:t xml:space="preserve">. </w:t>
      </w:r>
      <w:r w:rsidRPr="00620E8B">
        <w:rPr>
          <w:rFonts w:ascii="Times New Roman" w:hAnsi="Times New Roman" w:cs="Times New Roman"/>
          <w:sz w:val="24"/>
        </w:rPr>
        <w:t>If it is in</w:t>
      </w:r>
      <w:r>
        <w:rPr>
          <w:rFonts w:ascii="Times New Roman" w:hAnsi="Times New Roman" w:cs="Times New Roman"/>
          <w:sz w:val="24"/>
        </w:rPr>
        <w:t xml:space="preserve"> our cache, then we call the </w:t>
      </w:r>
      <w:proofErr w:type="spellStart"/>
      <w:r>
        <w:rPr>
          <w:rFonts w:ascii="Times New Roman" w:hAnsi="Times New Roman" w:cs="Times New Roman"/>
          <w:sz w:val="24"/>
        </w:rPr>
        <w:t>iplc</w:t>
      </w:r>
      <w:r w:rsidRPr="00620E8B">
        <w:rPr>
          <w:rFonts w:ascii="Times New Roman" w:hAnsi="Times New Roman" w:cs="Times New Roman"/>
          <w:sz w:val="24"/>
        </w:rPr>
        <w:t>_sim_LRU_update_on_hit</w:t>
      </w:r>
      <w:proofErr w:type="spellEnd"/>
      <w:r w:rsidRPr="00620E8B">
        <w:rPr>
          <w:rFonts w:ascii="Times New Roman" w:hAnsi="Times New Roman" w:cs="Times New Roman"/>
          <w:sz w:val="24"/>
        </w:rPr>
        <w:t xml:space="preserve"> method which will simply add to our counter for the amount of cache hits and update the value in our cache. However</w:t>
      </w:r>
      <w:r>
        <w:rPr>
          <w:rFonts w:ascii="Times New Roman" w:hAnsi="Times New Roman" w:cs="Times New Roman"/>
          <w:sz w:val="24"/>
        </w:rPr>
        <w:t>,</w:t>
      </w:r>
      <w:r w:rsidRPr="00620E8B">
        <w:rPr>
          <w:rFonts w:ascii="Times New Roman" w:hAnsi="Times New Roman" w:cs="Times New Roman"/>
          <w:sz w:val="24"/>
        </w:rPr>
        <w:t xml:space="preserve"> if the address is not in our cache then we call the </w:t>
      </w:r>
      <w:proofErr w:type="spellStart"/>
      <w:r w:rsidRPr="00620E8B">
        <w:rPr>
          <w:rFonts w:ascii="Times New Roman" w:hAnsi="Times New Roman" w:cs="Times New Roman"/>
          <w:sz w:val="24"/>
        </w:rPr>
        <w:t>iplc_sim_LRU_replace_on_miss</w:t>
      </w:r>
      <w:proofErr w:type="spellEnd"/>
      <w:r w:rsidRPr="00620E8B">
        <w:rPr>
          <w:rFonts w:ascii="Times New Roman" w:hAnsi="Times New Roman" w:cs="Times New Roman"/>
          <w:sz w:val="24"/>
        </w:rPr>
        <w:t xml:space="preserve"> which goes through and looks to find either an empty spot in the cache or looks to find the lowest value in the cache and replace the old data with the new address’s data. We then also update the amount of cache misses. If we do have a miss</w:t>
      </w:r>
      <w:r>
        <w:rPr>
          <w:rFonts w:ascii="Times New Roman" w:hAnsi="Times New Roman" w:cs="Times New Roman"/>
          <w:sz w:val="24"/>
        </w:rPr>
        <w:t>,</w:t>
      </w:r>
      <w:r w:rsidRPr="00620E8B">
        <w:rPr>
          <w:rFonts w:ascii="Times New Roman" w:hAnsi="Times New Roman" w:cs="Times New Roman"/>
          <w:sz w:val="24"/>
        </w:rPr>
        <w:t xml:space="preserve"> in our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method</w:t>
      </w:r>
      <w:r>
        <w:rPr>
          <w:rFonts w:ascii="Times New Roman" w:hAnsi="Times New Roman" w:cs="Times New Roman"/>
          <w:sz w:val="24"/>
        </w:rPr>
        <w:t xml:space="preserve"> </w:t>
      </w:r>
      <w:r w:rsidRPr="00620E8B">
        <w:rPr>
          <w:rFonts w:ascii="Times New Roman" w:hAnsi="Times New Roman" w:cs="Times New Roman"/>
          <w:sz w:val="24"/>
        </w:rPr>
        <w:t xml:space="preserve">we push the instruction through the pipeline. The purpose of doing this is that we do not double count cycles but instead have them overlap. </w:t>
      </w:r>
    </w:p>
    <w:p w:rsidR="00D56211" w:rsidRDefault="00D56211" w:rsidP="00D56211">
      <w:pPr>
        <w:ind w:firstLine="720"/>
        <w:rPr>
          <w:rFonts w:ascii="Times New Roman" w:hAnsi="Times New Roman" w:cs="Times New Roman"/>
          <w:sz w:val="24"/>
        </w:rPr>
      </w:pPr>
      <w:r w:rsidRPr="00620E8B">
        <w:rPr>
          <w:rFonts w:ascii="Times New Roman" w:hAnsi="Times New Roman" w:cs="Times New Roman"/>
          <w:sz w:val="24"/>
        </w:rPr>
        <w:t xml:space="preserve">In the pipeline simulator, </w:t>
      </w:r>
      <w:proofErr w:type="spellStart"/>
      <w:r w:rsidRPr="00620E8B">
        <w:rPr>
          <w:rFonts w:ascii="Times New Roman" w:hAnsi="Times New Roman" w:cs="Times New Roman"/>
          <w:sz w:val="24"/>
        </w:rPr>
        <w:t>iplc_sim_push_pipeline_stage</w:t>
      </w:r>
      <w:proofErr w:type="spellEnd"/>
      <w:r w:rsidRPr="00620E8B">
        <w:rPr>
          <w:rFonts w:ascii="Times New Roman" w:hAnsi="Times New Roman" w:cs="Times New Roman"/>
          <w:sz w:val="24"/>
        </w:rPr>
        <w:t>, we go through seven stages. The first stage is the writeback stage in we write our results into the register file. The second stage we check to see if the branch prediction was right. The third stage is to check for an</w:t>
      </w:r>
      <w:r>
        <w:rPr>
          <w:rFonts w:ascii="Times New Roman" w:hAnsi="Times New Roman" w:cs="Times New Roman"/>
          <w:sz w:val="24"/>
        </w:rPr>
        <w:t>y LW delays. If there are any</w:t>
      </w:r>
      <w:r w:rsidRPr="00620E8B">
        <w:rPr>
          <w:rFonts w:ascii="Times New Roman" w:hAnsi="Times New Roman" w:cs="Times New Roman"/>
          <w:sz w:val="24"/>
        </w:rPr>
        <w:t xml:space="preserve"> then we add 9 cycles to our cycle count. We are adding one additional cycle later one so that is why we do not add the full ten cycle delay. In the fourth stage we look for a SW memory access and data miss and add 9 cycles if it does happen. In the fifth date we just implement the total cycles by one. In the sixth stage we push through onto the next stage of the pipeline. In the seventh stage we reset the fetch stage to NOP. </w:t>
      </w:r>
    </w:p>
    <w:p w:rsidR="00D56211" w:rsidRPr="00620E8B" w:rsidRDefault="00D56211" w:rsidP="00D56211">
      <w:pPr>
        <w:ind w:firstLine="720"/>
        <w:rPr>
          <w:rFonts w:ascii="Times New Roman" w:hAnsi="Times New Roman" w:cs="Times New Roman"/>
          <w:sz w:val="24"/>
        </w:rPr>
      </w:pPr>
      <w:r w:rsidRPr="00620E8B">
        <w:rPr>
          <w:rFonts w:ascii="Times New Roman" w:hAnsi="Times New Roman" w:cs="Times New Roman"/>
          <w:sz w:val="24"/>
        </w:rPr>
        <w:t xml:space="preserve">We then go back into the </w:t>
      </w:r>
      <w:proofErr w:type="spellStart"/>
      <w:r w:rsidRPr="00620E8B">
        <w:rPr>
          <w:rFonts w:ascii="Times New Roman" w:hAnsi="Times New Roman" w:cs="Times New Roman"/>
          <w:sz w:val="24"/>
        </w:rPr>
        <w:t>iplc_sim_parse_instruction</w:t>
      </w:r>
      <w:proofErr w:type="spellEnd"/>
      <w:r w:rsidRPr="00620E8B">
        <w:rPr>
          <w:rFonts w:ascii="Times New Roman" w:hAnsi="Times New Roman" w:cs="Times New Roman"/>
          <w:sz w:val="24"/>
        </w:rPr>
        <w:t xml:space="preserve"> and parse the instruction. We check to see if then instruction if “add”, “</w:t>
      </w:r>
      <w:proofErr w:type="spellStart"/>
      <w:r w:rsidRPr="00620E8B">
        <w:rPr>
          <w:rFonts w:ascii="Times New Roman" w:hAnsi="Times New Roman" w:cs="Times New Roman"/>
          <w:sz w:val="24"/>
        </w:rPr>
        <w:t>sll</w:t>
      </w:r>
      <w:proofErr w:type="spellEnd"/>
      <w:r w:rsidRPr="00620E8B">
        <w:rPr>
          <w:rFonts w:ascii="Times New Roman" w:hAnsi="Times New Roman" w:cs="Times New Roman"/>
          <w:sz w:val="24"/>
        </w:rPr>
        <w:t>” or “</w:t>
      </w:r>
      <w:proofErr w:type="spellStart"/>
      <w:r w:rsidRPr="00620E8B">
        <w:rPr>
          <w:rFonts w:ascii="Times New Roman" w:hAnsi="Times New Roman" w:cs="Times New Roman"/>
          <w:sz w:val="24"/>
        </w:rPr>
        <w:t>ori</w:t>
      </w:r>
      <w:proofErr w:type="spellEnd"/>
      <w:r w:rsidRPr="00620E8B">
        <w:rPr>
          <w:rFonts w:ascii="Times New Roman" w:hAnsi="Times New Roman" w:cs="Times New Roman"/>
          <w:sz w:val="24"/>
        </w:rPr>
        <w:t xml:space="preserve">” as if it is then we assign values to our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which basically assigns the </w:t>
      </w:r>
      <w:proofErr w:type="spellStart"/>
      <w:r w:rsidRPr="00620E8B">
        <w:rPr>
          <w:rFonts w:ascii="Times New Roman" w:hAnsi="Times New Roman" w:cs="Times New Roman"/>
          <w:sz w:val="24"/>
        </w:rPr>
        <w:t>dest_reg</w:t>
      </w:r>
      <w:proofErr w:type="spellEnd"/>
      <w:r w:rsidRPr="00620E8B">
        <w:rPr>
          <w:rFonts w:ascii="Times New Roman" w:hAnsi="Times New Roman" w:cs="Times New Roman"/>
          <w:sz w:val="24"/>
        </w:rPr>
        <w:t xml:space="preserve">,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and </w:t>
      </w:r>
      <w:proofErr w:type="spellStart"/>
      <w:r w:rsidRPr="00620E8B">
        <w:rPr>
          <w:rFonts w:ascii="Times New Roman" w:hAnsi="Times New Roman" w:cs="Times New Roman"/>
          <w:sz w:val="24"/>
        </w:rPr>
        <w:t>src_reg</w:t>
      </w:r>
      <w:proofErr w:type="spellEnd"/>
      <w:r w:rsidRPr="00620E8B">
        <w:rPr>
          <w:rFonts w:ascii="Times New Roman" w:hAnsi="Times New Roman" w:cs="Times New Roman"/>
          <w:sz w:val="24"/>
        </w:rPr>
        <w:t xml:space="preserve"> to the Fetch in the pipeline. Next, we check to see if the instruction is “</w:t>
      </w:r>
      <w:proofErr w:type="spellStart"/>
      <w:r w:rsidRPr="00620E8B">
        <w:rPr>
          <w:rFonts w:ascii="Times New Roman" w:hAnsi="Times New Roman" w:cs="Times New Roman"/>
          <w:sz w:val="24"/>
        </w:rPr>
        <w:t>lui</w:t>
      </w:r>
      <w:proofErr w:type="spellEnd"/>
      <w:r w:rsidRPr="00620E8B">
        <w:rPr>
          <w:rFonts w:ascii="Times New Roman" w:hAnsi="Times New Roman" w:cs="Times New Roman"/>
          <w:sz w:val="24"/>
        </w:rPr>
        <w:t xml:space="preserve">”, if it is we then call the </w:t>
      </w:r>
      <w:proofErr w:type="spellStart"/>
      <w:r w:rsidRPr="00620E8B">
        <w:rPr>
          <w:rFonts w:ascii="Times New Roman" w:hAnsi="Times New Roman" w:cs="Times New Roman"/>
          <w:sz w:val="24"/>
        </w:rPr>
        <w:t>iplc_sim_process_pipeline_rtype</w:t>
      </w:r>
      <w:proofErr w:type="spellEnd"/>
      <w:r w:rsidRPr="00620E8B">
        <w:rPr>
          <w:rFonts w:ascii="Times New Roman" w:hAnsi="Times New Roman" w:cs="Times New Roman"/>
          <w:sz w:val="24"/>
        </w:rPr>
        <w:t xml:space="preserve"> method again but this time we would </w:t>
      </w:r>
      <w:r>
        <w:rPr>
          <w:rFonts w:ascii="Times New Roman" w:hAnsi="Times New Roman" w:cs="Times New Roman"/>
          <w:sz w:val="24"/>
        </w:rPr>
        <w:t xml:space="preserve">assign the same value to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as the last conditional but assign the values -1 to both </w:t>
      </w:r>
      <w:proofErr w:type="spellStart"/>
      <w:r>
        <w:rPr>
          <w:rFonts w:ascii="Times New Roman" w:hAnsi="Times New Roman" w:cs="Times New Roman"/>
          <w:sz w:val="24"/>
        </w:rPr>
        <w:t>src</w:t>
      </w:r>
      <w:proofErr w:type="spellEnd"/>
      <w:r>
        <w:rPr>
          <w:rFonts w:ascii="Times New Roman" w:hAnsi="Times New Roman" w:cs="Times New Roman"/>
          <w:sz w:val="24"/>
        </w:rPr>
        <w:t xml:space="preserve"> _</w:t>
      </w:r>
      <w:proofErr w:type="spellStart"/>
      <w:r>
        <w:rPr>
          <w:rFonts w:ascii="Times New Roman" w:hAnsi="Times New Roman" w:cs="Times New Roman"/>
          <w:sz w:val="24"/>
        </w:rPr>
        <w:t>reg</w:t>
      </w:r>
      <w:proofErr w:type="spellEnd"/>
      <w:r>
        <w:rPr>
          <w:rFonts w:ascii="Times New Roman" w:hAnsi="Times New Roman" w:cs="Times New Roman"/>
          <w:sz w:val="24"/>
        </w:rPr>
        <w:t xml:space="preserve"> and src_reg2. We then check to see if the instruction is “</w:t>
      </w:r>
      <w:proofErr w:type="spellStart"/>
      <w:r>
        <w:rPr>
          <w:rFonts w:ascii="Times New Roman" w:hAnsi="Times New Roman" w:cs="Times New Roman"/>
          <w:sz w:val="24"/>
        </w:rPr>
        <w:t>lw</w:t>
      </w:r>
      <w:proofErr w:type="spellEnd"/>
      <w:r>
        <w:rPr>
          <w:rFonts w:ascii="Times New Roman" w:hAnsi="Times New Roman" w:cs="Times New Roman"/>
          <w:sz w:val="24"/>
        </w:rPr>
        <w:t>” or “</w:t>
      </w:r>
      <w:proofErr w:type="spellStart"/>
      <w:r>
        <w:rPr>
          <w:rFonts w:ascii="Times New Roman" w:hAnsi="Times New Roman" w:cs="Times New Roman"/>
          <w:sz w:val="24"/>
        </w:rPr>
        <w:t>sw</w:t>
      </w:r>
      <w:proofErr w:type="spellEnd"/>
      <w:r>
        <w:rPr>
          <w:rFonts w:ascii="Times New Roman" w:hAnsi="Times New Roman" w:cs="Times New Roman"/>
          <w:sz w:val="24"/>
        </w:rPr>
        <w:t>”, if it is “</w:t>
      </w:r>
      <w:proofErr w:type="spellStart"/>
      <w:r>
        <w:rPr>
          <w:rFonts w:ascii="Times New Roman" w:hAnsi="Times New Roman" w:cs="Times New Roman"/>
          <w:sz w:val="24"/>
        </w:rPr>
        <w:t>lw</w:t>
      </w:r>
      <w:proofErr w:type="spellEnd"/>
      <w:r>
        <w:rPr>
          <w:rFonts w:ascii="Times New Roman" w:hAnsi="Times New Roman" w:cs="Times New Roman"/>
          <w:sz w:val="24"/>
        </w:rPr>
        <w:t xml:space="preserve">” we then set the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value and call the </w:t>
      </w:r>
      <w:proofErr w:type="spellStart"/>
      <w:r w:rsidRPr="00EB4272">
        <w:rPr>
          <w:rFonts w:ascii="Times New Roman" w:hAnsi="Times New Roman" w:cs="Times New Roman"/>
          <w:sz w:val="24"/>
        </w:rPr>
        <w:t>iplc_sim_process_pipeline_l</w:t>
      </w:r>
      <w:r>
        <w:rPr>
          <w:rFonts w:ascii="Times New Roman" w:hAnsi="Times New Roman" w:cs="Times New Roman"/>
          <w:sz w:val="24"/>
        </w:rPr>
        <w:t>w</w:t>
      </w:r>
      <w:proofErr w:type="spellEnd"/>
      <w:r>
        <w:rPr>
          <w:rFonts w:ascii="Times New Roman" w:hAnsi="Times New Roman" w:cs="Times New Roman"/>
          <w:sz w:val="24"/>
        </w:rPr>
        <w:t xml:space="preserve"> method which essentially sets the values of the </w:t>
      </w:r>
      <w:proofErr w:type="spellStart"/>
      <w:r>
        <w:rPr>
          <w:rFonts w:ascii="Times New Roman" w:hAnsi="Times New Roman" w:cs="Times New Roman"/>
          <w:sz w:val="24"/>
        </w:rPr>
        <w:t>dest_reg</w:t>
      </w:r>
      <w:proofErr w:type="spellEnd"/>
      <w:r>
        <w:rPr>
          <w:rFonts w:ascii="Times New Roman" w:hAnsi="Times New Roman" w:cs="Times New Roman"/>
          <w:sz w:val="24"/>
        </w:rPr>
        <w:t xml:space="preserve">, </w:t>
      </w:r>
      <w:proofErr w:type="spellStart"/>
      <w:r>
        <w:rPr>
          <w:rFonts w:ascii="Times New Roman" w:hAnsi="Times New Roman" w:cs="Times New Roman"/>
          <w:sz w:val="24"/>
        </w:rPr>
        <w:t>base_reg</w:t>
      </w:r>
      <w:proofErr w:type="spellEnd"/>
      <w:r>
        <w:rPr>
          <w:rFonts w:ascii="Times New Roman" w:hAnsi="Times New Roman" w:cs="Times New Roman"/>
          <w:sz w:val="24"/>
        </w:rPr>
        <w:t xml:space="preserve"> and </w:t>
      </w:r>
      <w:proofErr w:type="spellStart"/>
      <w:r>
        <w:rPr>
          <w:rFonts w:ascii="Times New Roman" w:hAnsi="Times New Roman" w:cs="Times New Roman"/>
          <w:sz w:val="24"/>
        </w:rPr>
        <w:t>data_address</w:t>
      </w:r>
      <w:proofErr w:type="spellEnd"/>
      <w:r>
        <w:rPr>
          <w:rFonts w:ascii="Times New Roman" w:hAnsi="Times New Roman" w:cs="Times New Roman"/>
          <w:sz w:val="24"/>
        </w:rPr>
        <w:t xml:space="preserve"> for the </w:t>
      </w:r>
      <w:proofErr w:type="spellStart"/>
      <w:r>
        <w:rPr>
          <w:rFonts w:ascii="Times New Roman" w:hAnsi="Times New Roman" w:cs="Times New Roman"/>
          <w:sz w:val="24"/>
        </w:rPr>
        <w:t>lw</w:t>
      </w:r>
      <w:proofErr w:type="spellEnd"/>
      <w:r>
        <w:rPr>
          <w:rFonts w:ascii="Times New Roman" w:hAnsi="Times New Roman" w:cs="Times New Roman"/>
          <w:sz w:val="24"/>
        </w:rPr>
        <w:t xml:space="preserve"> in the pipeline. If the instruction was “</w:t>
      </w:r>
      <w:proofErr w:type="spellStart"/>
      <w:r>
        <w:rPr>
          <w:rFonts w:ascii="Times New Roman" w:hAnsi="Times New Roman" w:cs="Times New Roman"/>
          <w:sz w:val="24"/>
        </w:rPr>
        <w:t>sw</w:t>
      </w:r>
      <w:proofErr w:type="spellEnd"/>
      <w:r>
        <w:rPr>
          <w:rFonts w:ascii="Times New Roman" w:hAnsi="Times New Roman" w:cs="Times New Roman"/>
          <w:sz w:val="24"/>
        </w:rPr>
        <w:t xml:space="preserve">” however, then we assign the proper value to the </w:t>
      </w:r>
      <w:proofErr w:type="spellStart"/>
      <w:r>
        <w:rPr>
          <w:rFonts w:ascii="Times New Roman" w:hAnsi="Times New Roman" w:cs="Times New Roman"/>
          <w:sz w:val="24"/>
        </w:rPr>
        <w:t>src_reg</w:t>
      </w:r>
      <w:proofErr w:type="spellEnd"/>
      <w:r>
        <w:rPr>
          <w:rFonts w:ascii="Times New Roman" w:hAnsi="Times New Roman" w:cs="Times New Roman"/>
          <w:sz w:val="24"/>
        </w:rPr>
        <w:t xml:space="preserve"> and call, </w:t>
      </w:r>
      <w:proofErr w:type="spellStart"/>
      <w:r w:rsidRPr="00503308">
        <w:rPr>
          <w:rFonts w:ascii="Times New Roman" w:hAnsi="Times New Roman" w:cs="Times New Roman"/>
          <w:sz w:val="24"/>
        </w:rPr>
        <w:t>iplc_sim_process_pipeline_sw</w:t>
      </w:r>
      <w:proofErr w:type="spellEnd"/>
      <w:r>
        <w:rPr>
          <w:rFonts w:ascii="Times New Roman" w:hAnsi="Times New Roman" w:cs="Times New Roman"/>
          <w:sz w:val="24"/>
        </w:rPr>
        <w:t>. If the instruction is “</w:t>
      </w:r>
      <w:proofErr w:type="spellStart"/>
      <w:r>
        <w:rPr>
          <w:rFonts w:ascii="Times New Roman" w:hAnsi="Times New Roman" w:cs="Times New Roman"/>
          <w:sz w:val="24"/>
        </w:rPr>
        <w:t>beq</w:t>
      </w:r>
      <w:proofErr w:type="spellEnd"/>
      <w:r>
        <w:rPr>
          <w:rFonts w:ascii="Times New Roman" w:hAnsi="Times New Roman" w:cs="Times New Roman"/>
          <w:sz w:val="24"/>
        </w:rPr>
        <w:t xml:space="preserve">” then we call </w:t>
      </w:r>
      <w:proofErr w:type="spellStart"/>
      <w:r w:rsidRPr="00503308">
        <w:rPr>
          <w:rFonts w:ascii="Times New Roman" w:hAnsi="Times New Roman" w:cs="Times New Roman"/>
          <w:sz w:val="24"/>
        </w:rPr>
        <w:t>iplc_sim_</w:t>
      </w:r>
      <w:r>
        <w:rPr>
          <w:rFonts w:ascii="Times New Roman" w:hAnsi="Times New Roman" w:cs="Times New Roman"/>
          <w:sz w:val="24"/>
        </w:rPr>
        <w:t>process_pipeline_branch</w:t>
      </w:r>
      <w:proofErr w:type="spellEnd"/>
      <w:r>
        <w:rPr>
          <w:rFonts w:ascii="Times New Roman" w:hAnsi="Times New Roman" w:cs="Times New Roman"/>
          <w:sz w:val="24"/>
        </w:rPr>
        <w:t>. If the instruction was “</w:t>
      </w:r>
      <w:proofErr w:type="spellStart"/>
      <w:r>
        <w:rPr>
          <w:rFonts w:ascii="Times New Roman" w:hAnsi="Times New Roman" w:cs="Times New Roman"/>
          <w:sz w:val="24"/>
        </w:rPr>
        <w:t>jal</w:t>
      </w:r>
      <w:proofErr w:type="spellEnd"/>
      <w:r>
        <w:rPr>
          <w:rFonts w:ascii="Times New Roman" w:hAnsi="Times New Roman" w:cs="Times New Roman"/>
          <w:sz w:val="24"/>
        </w:rPr>
        <w:t>”, “</w:t>
      </w:r>
      <w:proofErr w:type="spellStart"/>
      <w:r>
        <w:rPr>
          <w:rFonts w:ascii="Times New Roman" w:hAnsi="Times New Roman" w:cs="Times New Roman"/>
          <w:sz w:val="24"/>
        </w:rPr>
        <w:t>jr</w:t>
      </w:r>
      <w:proofErr w:type="spellEnd"/>
      <w:r>
        <w:rPr>
          <w:rFonts w:ascii="Times New Roman" w:hAnsi="Times New Roman" w:cs="Times New Roman"/>
          <w:sz w:val="24"/>
        </w:rPr>
        <w:t xml:space="preserve">” or “j” then we call </w:t>
      </w:r>
      <w:proofErr w:type="spellStart"/>
      <w:r w:rsidRPr="00503308">
        <w:rPr>
          <w:rFonts w:ascii="Times New Roman" w:hAnsi="Times New Roman" w:cs="Times New Roman"/>
          <w:sz w:val="24"/>
        </w:rPr>
        <w:lastRenderedPageBreak/>
        <w:t>iplc_sim_process_pipeline_jump</w:t>
      </w:r>
      <w:proofErr w:type="spellEnd"/>
      <w:r>
        <w:rPr>
          <w:rFonts w:ascii="Times New Roman" w:hAnsi="Times New Roman" w:cs="Times New Roman"/>
          <w:sz w:val="24"/>
        </w:rPr>
        <w:t>. If the instruction is “</w:t>
      </w:r>
      <w:proofErr w:type="spellStart"/>
      <w:r>
        <w:rPr>
          <w:rFonts w:ascii="Times New Roman" w:hAnsi="Times New Roman" w:cs="Times New Roman"/>
          <w:sz w:val="24"/>
        </w:rPr>
        <w:t>syscall</w:t>
      </w:r>
      <w:proofErr w:type="spellEnd"/>
      <w:r>
        <w:rPr>
          <w:rFonts w:ascii="Times New Roman" w:hAnsi="Times New Roman" w:cs="Times New Roman"/>
          <w:sz w:val="24"/>
        </w:rPr>
        <w:t xml:space="preserve">” we call </w:t>
      </w:r>
      <w:proofErr w:type="spellStart"/>
      <w:r w:rsidRPr="00503308">
        <w:rPr>
          <w:rFonts w:ascii="Times New Roman" w:hAnsi="Times New Roman" w:cs="Times New Roman"/>
          <w:sz w:val="24"/>
        </w:rPr>
        <w:t>iplc_sim_process_pipeline_syscall</w:t>
      </w:r>
      <w:proofErr w:type="spellEnd"/>
      <w:r>
        <w:rPr>
          <w:rFonts w:ascii="Times New Roman" w:hAnsi="Times New Roman" w:cs="Times New Roman"/>
          <w:sz w:val="24"/>
        </w:rPr>
        <w:t>. If the instruction is “</w:t>
      </w:r>
      <w:proofErr w:type="spellStart"/>
      <w:r>
        <w:rPr>
          <w:rFonts w:ascii="Times New Roman" w:hAnsi="Times New Roman" w:cs="Times New Roman"/>
          <w:sz w:val="24"/>
        </w:rPr>
        <w:t>nop</w:t>
      </w:r>
      <w:proofErr w:type="spellEnd"/>
      <w:r>
        <w:rPr>
          <w:rFonts w:ascii="Times New Roman" w:hAnsi="Times New Roman" w:cs="Times New Roman"/>
          <w:sz w:val="24"/>
        </w:rPr>
        <w:t xml:space="preserve">”, then we call </w:t>
      </w:r>
      <w:proofErr w:type="spellStart"/>
      <w:r>
        <w:rPr>
          <w:rFonts w:ascii="Times New Roman" w:hAnsi="Times New Roman" w:cs="Times New Roman"/>
          <w:sz w:val="24"/>
        </w:rPr>
        <w:t>iplc_sim_process_pipeline_nop</w:t>
      </w:r>
      <w:proofErr w:type="spellEnd"/>
      <w:r>
        <w:rPr>
          <w:rFonts w:ascii="Times New Roman" w:hAnsi="Times New Roman" w:cs="Times New Roman"/>
          <w:sz w:val="24"/>
        </w:rPr>
        <w:t>.  All of these methods just assign values to the targeted pipeline. Lastly, we call</w:t>
      </w:r>
      <w:r w:rsidRPr="00503308">
        <w:rPr>
          <w:rFonts w:ascii="Times New Roman" w:hAnsi="Times New Roman" w:cs="Times New Roman"/>
          <w:sz w:val="24"/>
        </w:rPr>
        <w:t xml:space="preserve"> </w:t>
      </w:r>
      <w:proofErr w:type="spellStart"/>
      <w:r w:rsidRPr="00503308">
        <w:rPr>
          <w:rFonts w:ascii="Times New Roman" w:hAnsi="Times New Roman" w:cs="Times New Roman"/>
          <w:sz w:val="24"/>
        </w:rPr>
        <w:t>iplc_sim_finalize</w:t>
      </w:r>
      <w:proofErr w:type="spellEnd"/>
      <w:r>
        <w:rPr>
          <w:rFonts w:ascii="Times New Roman" w:hAnsi="Times New Roman" w:cs="Times New Roman"/>
          <w:sz w:val="24"/>
        </w:rPr>
        <w:t xml:space="preserve"> which will ensure all instructions are done </w:t>
      </w:r>
      <w:proofErr w:type="spellStart"/>
      <w:r>
        <w:rPr>
          <w:rFonts w:ascii="Times New Roman" w:hAnsi="Times New Roman" w:cs="Times New Roman"/>
          <w:sz w:val="24"/>
        </w:rPr>
        <w:t>procceded</w:t>
      </w:r>
      <w:proofErr w:type="spellEnd"/>
      <w:r>
        <w:rPr>
          <w:rFonts w:ascii="Times New Roman" w:hAnsi="Times New Roman" w:cs="Times New Roman"/>
          <w:sz w:val="24"/>
        </w:rPr>
        <w:t xml:space="preserve"> and print important statistics. </w:t>
      </w:r>
    </w:p>
    <w:p w:rsidR="00D56211" w:rsidRDefault="00D56211" w:rsidP="009C0BAE">
      <w:pPr>
        <w:jc w:val="center"/>
      </w:pPr>
    </w:p>
    <w:p w:rsidR="00D56211" w:rsidRPr="00D56211" w:rsidRDefault="00D56211" w:rsidP="009C0BAE">
      <w:pPr>
        <w:jc w:val="center"/>
      </w:pPr>
    </w:p>
    <w:p w:rsidR="00B5702F" w:rsidRDefault="006F0749" w:rsidP="009C0BAE">
      <w:pPr>
        <w:jc w:val="center"/>
      </w:pPr>
      <w:r>
        <w:t>Performance Assessment</w:t>
      </w:r>
    </w:p>
    <w:p w:rsidR="006F0749" w:rsidRDefault="00020234" w:rsidP="006F0749">
      <w:r>
        <w:t xml:space="preserve">Based on the results of our 18 different tests. We have concluded that </w:t>
      </w:r>
      <w:r w:rsidR="0031642A">
        <w:t>the best highest performing configuration</w:t>
      </w:r>
      <w:r>
        <w:t xml:space="preserve"> </w:t>
      </w:r>
      <w:r w:rsidR="0031642A">
        <w:t xml:space="preserve">is the one with a cache index, Block Size and Associativity of 4 with the branches not taken. This can be proved by 3 key statistics. </w:t>
      </w:r>
    </w:p>
    <w:p w:rsidR="0031642A" w:rsidRDefault="0031642A" w:rsidP="006F0749">
      <w:r>
        <w:t xml:space="preserve">First, we will talk about CPI. CPI is </w:t>
      </w:r>
      <w:r w:rsidR="00E36AF0">
        <w:t>the</w:t>
      </w:r>
      <w:r w:rsidR="0056445B">
        <w:t xml:space="preserve"> average</w:t>
      </w:r>
      <w:r w:rsidR="00E36AF0">
        <w:t xml:space="preserve"> number of CPU clock cycles that occur </w:t>
      </w:r>
      <w:r w:rsidR="0056445B">
        <w:t>per an instruction</w:t>
      </w:r>
      <w:r w:rsidR="00E36AF0">
        <w:t xml:space="preserve"> are being executed. </w:t>
      </w:r>
      <w:r w:rsidR="00F243E8">
        <w:t xml:space="preserve"> It can be calculated by taking the total amount of cycles and dividing it by the amount of instructions. </w:t>
      </w:r>
    </w:p>
    <w:p w:rsidR="0056445B" w:rsidRDefault="0056445B" w:rsidP="006F0749">
      <w:r>
        <w:rPr>
          <w:noProof/>
        </w:rPr>
        <w:drawing>
          <wp:inline distT="0" distB="0" distL="0" distR="0" wp14:anchorId="473BD357" wp14:editId="5D277FCE">
            <wp:extent cx="5821680" cy="3124200"/>
            <wp:effectExtent l="0" t="0" r="7620" b="0"/>
            <wp:docPr id="1" name="Chart 1">
              <a:extLst xmlns:a="http://schemas.openxmlformats.org/drawingml/2006/main">
                <a:ext uri="{FF2B5EF4-FFF2-40B4-BE49-F238E27FC236}">
                  <a16:creationId xmlns:a16="http://schemas.microsoft.com/office/drawing/2014/main" id="{11D8214B-7F7E-4985-9322-7E4134538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6445B" w:rsidRDefault="0056445B" w:rsidP="0056445B">
      <w:pPr>
        <w:rPr>
          <w:rFonts w:ascii="Calibri" w:eastAsia="Times New Roman" w:hAnsi="Calibri" w:cs="Calibri"/>
          <w:color w:val="000000"/>
        </w:rPr>
      </w:pPr>
      <w:r>
        <w:t>As we can see the 9</w:t>
      </w:r>
      <w:r w:rsidRPr="0056445B">
        <w:rPr>
          <w:vertAlign w:val="superscript"/>
        </w:rPr>
        <w:t>th</w:t>
      </w:r>
      <w:r>
        <w:t xml:space="preserve"> bar on the bar graph is below the average. The average CPI for all 18 tests was </w:t>
      </w:r>
      <w:r w:rsidRPr="0056445B">
        <w:rPr>
          <w:rFonts w:ascii="Calibri" w:eastAsia="Times New Roman" w:hAnsi="Calibri" w:cs="Calibri"/>
          <w:color w:val="000000"/>
        </w:rPr>
        <w:t>1.248122389</w:t>
      </w:r>
      <w:r>
        <w:rPr>
          <w:rFonts w:ascii="Calibri" w:eastAsia="Times New Roman" w:hAnsi="Calibri" w:cs="Calibri"/>
          <w:color w:val="000000"/>
        </w:rPr>
        <w:t xml:space="preserve"> while the CPI of this specific configuration is </w:t>
      </w:r>
      <w:r w:rsidRPr="0056445B">
        <w:rPr>
          <w:rFonts w:ascii="Calibri" w:eastAsia="Times New Roman" w:hAnsi="Calibri" w:cs="Calibri"/>
          <w:color w:val="000000"/>
        </w:rPr>
        <w:t>1.057491</w:t>
      </w:r>
      <w:r>
        <w:rPr>
          <w:rFonts w:ascii="Calibri" w:eastAsia="Times New Roman" w:hAnsi="Calibri" w:cs="Calibri"/>
          <w:color w:val="000000"/>
        </w:rPr>
        <w:t xml:space="preserve">. The standard deviation for this data was </w:t>
      </w:r>
      <w:r w:rsidRPr="0056445B">
        <w:rPr>
          <w:rFonts w:ascii="Calibri" w:eastAsia="Times New Roman" w:hAnsi="Calibri" w:cs="Calibri"/>
          <w:color w:val="000000"/>
        </w:rPr>
        <w:t>0.135008803</w:t>
      </w:r>
      <w:r w:rsidR="00F243E8">
        <w:rPr>
          <w:rFonts w:ascii="Calibri" w:eastAsia="Times New Roman" w:hAnsi="Calibri" w:cs="Calibri"/>
          <w:color w:val="000000"/>
        </w:rPr>
        <w:t>. Thus, we know that the CPI of 9</w:t>
      </w:r>
      <w:r w:rsidR="00F243E8" w:rsidRPr="00F243E8">
        <w:rPr>
          <w:rFonts w:ascii="Calibri" w:eastAsia="Times New Roman" w:hAnsi="Calibri" w:cs="Calibri"/>
          <w:color w:val="000000"/>
          <w:vertAlign w:val="superscript"/>
        </w:rPr>
        <w:t>th</w:t>
      </w:r>
      <w:r w:rsidR="00F243E8">
        <w:rPr>
          <w:rFonts w:ascii="Calibri" w:eastAsia="Times New Roman" w:hAnsi="Calibri" w:cs="Calibri"/>
          <w:color w:val="000000"/>
        </w:rPr>
        <w:t xml:space="preserve"> bar is well below one standard deviation meaning that’s its CPI is in about the lowest 13 percentile. A low CPI is good because you want the least amount of cycles to pass per instruction, meaning that it takes less time to complete and instruction. </w:t>
      </w: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r>
        <w:rPr>
          <w:rFonts w:ascii="Calibri" w:eastAsia="Times New Roman" w:hAnsi="Calibri" w:cs="Calibri"/>
          <w:color w:val="000000"/>
        </w:rPr>
        <w:t xml:space="preserve">Second, we will discuss the miss rate. The miss rate is fraction of memory references not found in the cache. It can be calculated by dividing the cache misses by the cache accesses. </w:t>
      </w: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Default="00F243E8" w:rsidP="0056445B">
      <w:pPr>
        <w:rPr>
          <w:rFonts w:ascii="Calibri" w:eastAsia="Times New Roman" w:hAnsi="Calibri" w:cs="Calibri"/>
          <w:color w:val="000000"/>
        </w:rPr>
      </w:pPr>
    </w:p>
    <w:p w:rsidR="00F243E8" w:rsidRPr="0056445B" w:rsidRDefault="00F243E8" w:rsidP="0056445B">
      <w:pPr>
        <w:rPr>
          <w:rFonts w:ascii="Calibri" w:eastAsia="Times New Roman" w:hAnsi="Calibri" w:cs="Calibri"/>
          <w:color w:val="000000"/>
        </w:rPr>
      </w:pPr>
      <w:r>
        <w:rPr>
          <w:noProof/>
        </w:rPr>
        <w:drawing>
          <wp:inline distT="0" distB="0" distL="0" distR="0" wp14:anchorId="3332C49B" wp14:editId="3DAD4946">
            <wp:extent cx="5886450" cy="2773680"/>
            <wp:effectExtent l="0" t="0" r="0" b="7620"/>
            <wp:docPr id="2" name="Chart 2">
              <a:extLst xmlns:a="http://schemas.openxmlformats.org/drawingml/2006/main">
                <a:ext uri="{FF2B5EF4-FFF2-40B4-BE49-F238E27FC236}">
                  <a16:creationId xmlns:a16="http://schemas.microsoft.com/office/drawing/2014/main" id="{7AA69E3C-401F-4E9E-930A-600565ED60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Calibri" w:eastAsia="Times New Roman" w:hAnsi="Calibri" w:cs="Calibri"/>
          <w:color w:val="000000"/>
        </w:rPr>
        <w:t xml:space="preserve"> </w:t>
      </w:r>
    </w:p>
    <w:p w:rsidR="009C0BAE" w:rsidRDefault="00F243E8" w:rsidP="00F243E8">
      <w:pPr>
        <w:rPr>
          <w:rFonts w:ascii="Calibri" w:eastAsia="Times New Roman" w:hAnsi="Calibri" w:cs="Calibri"/>
          <w:color w:val="000000"/>
        </w:rPr>
      </w:pPr>
      <w:r>
        <w:rPr>
          <w:rFonts w:ascii="Calibri" w:eastAsia="Times New Roman" w:hAnsi="Calibri" w:cs="Calibri"/>
          <w:color w:val="000000"/>
        </w:rPr>
        <w:t>We can see that the 9</w:t>
      </w:r>
      <w:r w:rsidRPr="00F243E8">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had an extremely low miss rate to many of the other configurations. The average miss rate was </w:t>
      </w:r>
      <w:r w:rsidR="00E039A0" w:rsidRPr="00E039A0">
        <w:rPr>
          <w:rFonts w:ascii="Calibri" w:eastAsia="Times New Roman" w:hAnsi="Calibri" w:cs="Calibri"/>
          <w:color w:val="000000"/>
        </w:rPr>
        <w:t>0.015827444</w:t>
      </w:r>
      <w:r w:rsidR="00E039A0">
        <w:rPr>
          <w:rFonts w:ascii="Calibri" w:eastAsia="Times New Roman" w:hAnsi="Calibri" w:cs="Calibri"/>
          <w:color w:val="000000"/>
        </w:rPr>
        <w:t xml:space="preserve"> while the miss rate for the 9</w:t>
      </w:r>
      <w:r w:rsidR="00E039A0" w:rsidRPr="00E039A0">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was </w:t>
      </w:r>
      <w:r w:rsidR="00E039A0" w:rsidRPr="00E039A0">
        <w:rPr>
          <w:rFonts w:ascii="Calibri" w:eastAsia="Times New Roman" w:hAnsi="Calibri" w:cs="Calibri"/>
          <w:color w:val="000000"/>
        </w:rPr>
        <w:t>0.002175</w:t>
      </w:r>
      <w:r w:rsidR="00E039A0">
        <w:rPr>
          <w:rFonts w:ascii="Calibri" w:eastAsia="Times New Roman" w:hAnsi="Calibri" w:cs="Calibri"/>
          <w:color w:val="000000"/>
        </w:rPr>
        <w:t xml:space="preserve">. The standard deviation of the data is </w:t>
      </w:r>
      <w:r w:rsidR="00E039A0" w:rsidRPr="00E039A0">
        <w:rPr>
          <w:rFonts w:ascii="Calibri" w:eastAsia="Times New Roman" w:hAnsi="Calibri" w:cs="Calibri"/>
          <w:color w:val="000000"/>
        </w:rPr>
        <w:t>0.012806946</w:t>
      </w:r>
      <w:r w:rsidR="00E039A0">
        <w:rPr>
          <w:rFonts w:ascii="Calibri" w:eastAsia="Times New Roman" w:hAnsi="Calibri" w:cs="Calibri"/>
          <w:color w:val="000000"/>
        </w:rPr>
        <w:t>, thus the 9</w:t>
      </w:r>
      <w:r w:rsidR="00E039A0" w:rsidRPr="00E039A0">
        <w:rPr>
          <w:rFonts w:ascii="Calibri" w:eastAsia="Times New Roman" w:hAnsi="Calibri" w:cs="Calibri"/>
          <w:color w:val="000000"/>
          <w:vertAlign w:val="superscript"/>
        </w:rPr>
        <w:t>th</w:t>
      </w:r>
      <w:r w:rsidR="00E039A0">
        <w:rPr>
          <w:rFonts w:ascii="Calibri" w:eastAsia="Times New Roman" w:hAnsi="Calibri" w:cs="Calibri"/>
          <w:color w:val="000000"/>
        </w:rPr>
        <w:t xml:space="preserve"> configuration is more than a standard deviation away from the average meaning that again, it is in the lowest 13 percentile. Having a low miss rate is good because that means that you spend less time copying things from the main memory to the cache. </w:t>
      </w:r>
    </w:p>
    <w:p w:rsidR="00252E4A" w:rsidRDefault="00252E4A" w:rsidP="00F243E8">
      <w:pPr>
        <w:rPr>
          <w:rFonts w:ascii="Calibri" w:eastAsia="Times New Roman" w:hAnsi="Calibri" w:cs="Calibri"/>
          <w:color w:val="000000"/>
        </w:rPr>
      </w:pPr>
    </w:p>
    <w:p w:rsidR="00252E4A" w:rsidRDefault="00252E4A" w:rsidP="00F243E8">
      <w:pPr>
        <w:rPr>
          <w:rFonts w:ascii="Calibri" w:eastAsia="Times New Roman" w:hAnsi="Calibri" w:cs="Calibri"/>
          <w:color w:val="000000"/>
        </w:rPr>
      </w:pPr>
      <w:r>
        <w:rPr>
          <w:rFonts w:ascii="Calibri" w:eastAsia="Times New Roman" w:hAnsi="Calibri" w:cs="Calibri"/>
          <w:color w:val="000000"/>
        </w:rPr>
        <w:t>Lastly, we would like to bring up the statistic of the total correct branch predictions</w:t>
      </w:r>
      <w:r w:rsidR="00FB64FE">
        <w:rPr>
          <w:rFonts w:ascii="Calibri" w:eastAsia="Times New Roman" w:hAnsi="Calibri" w:cs="Calibri"/>
          <w:color w:val="000000"/>
        </w:rPr>
        <w:t xml:space="preserve">. This basically means how many times did our program guess the right way to branch off to. </w:t>
      </w:r>
    </w:p>
    <w:p w:rsidR="00FB64FE" w:rsidRDefault="00FB64FE" w:rsidP="00F243E8">
      <w:pPr>
        <w:rPr>
          <w:rFonts w:ascii="Calibri" w:eastAsia="Times New Roman" w:hAnsi="Calibri" w:cs="Calibri"/>
          <w:color w:val="000000"/>
        </w:rPr>
      </w:pPr>
      <w:r>
        <w:rPr>
          <w:noProof/>
        </w:rPr>
        <w:lastRenderedPageBreak/>
        <w:drawing>
          <wp:inline distT="0" distB="0" distL="0" distR="0" wp14:anchorId="0A42B856" wp14:editId="5606D0A1">
            <wp:extent cx="5962650" cy="3002280"/>
            <wp:effectExtent l="0" t="0" r="0" b="7620"/>
            <wp:docPr id="3" name="Chart 3">
              <a:extLst xmlns:a="http://schemas.openxmlformats.org/drawingml/2006/main">
                <a:ext uri="{FF2B5EF4-FFF2-40B4-BE49-F238E27FC236}">
                  <a16:creationId xmlns:a16="http://schemas.microsoft.com/office/drawing/2014/main" id="{DA1F7724-42F4-4BFA-BE70-4670DF557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64FE" w:rsidRDefault="00FB64FE" w:rsidP="00F243E8">
      <w:pPr>
        <w:rPr>
          <w:rFonts w:ascii="Calibri" w:eastAsia="Times New Roman" w:hAnsi="Calibri" w:cs="Calibri"/>
          <w:color w:val="000000"/>
        </w:rPr>
      </w:pPr>
      <w:r>
        <w:rPr>
          <w:rFonts w:ascii="Calibri" w:eastAsia="Times New Roman" w:hAnsi="Calibri" w:cs="Calibri"/>
          <w:color w:val="000000"/>
        </w:rPr>
        <w:t xml:space="preserve">This data clearly shows that the branch not taken method usually yielded better result than the branch taken method  by a lot. </w:t>
      </w:r>
    </w:p>
    <w:p w:rsidR="00D56211" w:rsidRDefault="00D56211" w:rsidP="00D56211">
      <w:pPr>
        <w:rPr>
          <w:rFonts w:ascii="Calibri" w:eastAsia="Times New Roman" w:hAnsi="Calibri" w:cs="Calibri"/>
          <w:color w:val="000000"/>
        </w:rPr>
      </w:pPr>
      <w:r>
        <w:rPr>
          <w:rFonts w:ascii="Calibri" w:eastAsia="Times New Roman" w:hAnsi="Calibri" w:cs="Calibri"/>
          <w:color w:val="000000"/>
        </w:rPr>
        <w:t>These three statistic give us plentiful evidence that the 9</w:t>
      </w:r>
      <w:r w:rsidRPr="00FB64FE">
        <w:rPr>
          <w:rFonts w:ascii="Calibri" w:eastAsia="Times New Roman" w:hAnsi="Calibri" w:cs="Calibri"/>
          <w:color w:val="000000"/>
          <w:vertAlign w:val="superscript"/>
        </w:rPr>
        <w:t>th</w:t>
      </w:r>
      <w:r>
        <w:rPr>
          <w:rFonts w:ascii="Calibri" w:eastAsia="Times New Roman" w:hAnsi="Calibri" w:cs="Calibri"/>
          <w:color w:val="000000"/>
        </w:rPr>
        <w:t xml:space="preserve"> configuration performs because it has one of the lowest CPI’s and miss rates and has a higher correct branch prediction rate than the branch taken method configurations.</w:t>
      </w: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p>
    <w:p w:rsidR="00D56211" w:rsidRDefault="00D56211" w:rsidP="00F243E8">
      <w:pPr>
        <w:rPr>
          <w:rFonts w:ascii="Calibri" w:eastAsia="Times New Roman" w:hAnsi="Calibri" w:cs="Calibri"/>
          <w:color w:val="000000"/>
        </w:rPr>
      </w:pPr>
      <w:r>
        <w:rPr>
          <w:rFonts w:ascii="Calibri" w:eastAsia="Times New Roman" w:hAnsi="Calibri" w:cs="Calibri"/>
          <w:color w:val="000000"/>
        </w:rPr>
        <w:lastRenderedPageBreak/>
        <w:t>Here is the full data chart:</w:t>
      </w:r>
    </w:p>
    <w:tbl>
      <w:tblPr>
        <w:tblpPr w:leftFromText="180" w:rightFromText="180" w:vertAnchor="text" w:horzAnchor="page" w:tblpX="1" w:tblpY="1737"/>
        <w:tblW w:w="12168" w:type="dxa"/>
        <w:tblLayout w:type="fixed"/>
        <w:tblCellMar>
          <w:top w:w="15" w:type="dxa"/>
          <w:bottom w:w="15" w:type="dxa"/>
        </w:tblCellMar>
        <w:tblLook w:val="04A0" w:firstRow="1" w:lastRow="0" w:firstColumn="1" w:lastColumn="0" w:noHBand="0" w:noVBand="1"/>
      </w:tblPr>
      <w:tblGrid>
        <w:gridCol w:w="936"/>
        <w:gridCol w:w="936"/>
        <w:gridCol w:w="936"/>
        <w:gridCol w:w="936"/>
        <w:gridCol w:w="936"/>
        <w:gridCol w:w="936"/>
        <w:gridCol w:w="936"/>
        <w:gridCol w:w="936"/>
        <w:gridCol w:w="936"/>
        <w:gridCol w:w="936"/>
        <w:gridCol w:w="936"/>
        <w:gridCol w:w="936"/>
        <w:gridCol w:w="936"/>
      </w:tblGrid>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Configuration Number</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Cache Index</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Block Size</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Levels of Associativity</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Cycles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Instruction</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Branch Instructions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Total Correct Branch Predictions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CPI</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Accesses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Misses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Number of Cache Hits</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rPr>
                <w:rFonts w:ascii="Calibri" w:eastAsia="Times New Roman" w:hAnsi="Calibri" w:cs="Calibri"/>
                <w:b/>
                <w:bCs/>
                <w:color w:val="000000"/>
                <w:sz w:val="18"/>
                <w:szCs w:val="18"/>
              </w:rPr>
            </w:pPr>
            <w:r w:rsidRPr="00784567">
              <w:rPr>
                <w:rFonts w:ascii="Calibri" w:eastAsia="Times New Roman" w:hAnsi="Calibri" w:cs="Calibri"/>
                <w:b/>
                <w:bCs/>
                <w:color w:val="000000"/>
                <w:sz w:val="18"/>
                <w:szCs w:val="18"/>
              </w:rPr>
              <w:t>Cache Miss Rate</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48547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1.396915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34473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0.038759</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40556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1.166978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502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35361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0.013998</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39309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1.131097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0.01022</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47757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5276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1.374184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1301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34562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0.036277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39261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5736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1.129715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0.009955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37848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1.089057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200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35663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0.005577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42979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5729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1.236699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770</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35093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0.021471</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37345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1.074583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35719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0.004015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36751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5749</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1.057491</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78</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35785</w:t>
            </w:r>
          </w:p>
        </w:tc>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0.002175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52998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1279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1.524991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34473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0.038759</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45015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1280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1.295284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502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35361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0.013998</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43769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1284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1.259431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0.01022</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52193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1.501827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1301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34562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0.036277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43707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1.257647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35506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0.009955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42304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1.217276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200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35663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0.005577</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47417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1.3644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770</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35093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0.021471</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17</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2</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41803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1.20286</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35719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0.004015</w:t>
            </w:r>
          </w:p>
        </w:tc>
      </w:tr>
      <w:tr w:rsidR="00D56211" w:rsidRPr="00784567" w:rsidTr="00D56211">
        <w:trPr>
          <w:trHeight w:val="285"/>
        </w:trPr>
        <w:tc>
          <w:tcPr>
            <w:tcW w:w="936" w:type="dxa"/>
            <w:tcBorders>
              <w:top w:val="single" w:sz="4" w:space="0" w:color="auto"/>
              <w:left w:val="single" w:sz="4" w:space="0" w:color="auto"/>
              <w:bottom w:val="single" w:sz="4" w:space="0" w:color="auto"/>
              <w:right w:val="single" w:sz="4" w:space="0" w:color="auto"/>
            </w:tcBorders>
            <w:noWrap/>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41209</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34753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7044</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1291</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1.185768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35863</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78</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35785</w:t>
            </w:r>
          </w:p>
        </w:tc>
        <w:tc>
          <w:tcPr>
            <w:tcW w:w="936" w:type="dxa"/>
            <w:tcBorders>
              <w:top w:val="single" w:sz="4" w:space="0" w:color="auto"/>
              <w:left w:val="single" w:sz="4" w:space="0" w:color="auto"/>
              <w:bottom w:val="single" w:sz="4" w:space="0" w:color="auto"/>
              <w:right w:val="single" w:sz="4" w:space="0" w:color="auto"/>
            </w:tcBorders>
            <w:vAlign w:val="bottom"/>
            <w:hideMark/>
          </w:tcPr>
          <w:p w:rsidR="00D56211" w:rsidRPr="00784567" w:rsidRDefault="00D56211" w:rsidP="00D56211">
            <w:pPr>
              <w:spacing w:after="0" w:line="240" w:lineRule="auto"/>
              <w:jc w:val="right"/>
              <w:rPr>
                <w:rFonts w:ascii="Calibri" w:eastAsia="Times New Roman" w:hAnsi="Calibri" w:cs="Calibri"/>
                <w:color w:val="000000"/>
                <w:sz w:val="18"/>
                <w:szCs w:val="18"/>
              </w:rPr>
            </w:pPr>
            <w:r w:rsidRPr="00784567">
              <w:rPr>
                <w:rFonts w:ascii="Calibri" w:eastAsia="Times New Roman" w:hAnsi="Calibri" w:cs="Calibri"/>
                <w:color w:val="000000"/>
                <w:sz w:val="18"/>
                <w:szCs w:val="18"/>
              </w:rPr>
              <w:t>0.002175</w:t>
            </w:r>
          </w:p>
        </w:tc>
      </w:tr>
    </w:tbl>
    <w:p w:rsidR="00FB64FE" w:rsidRPr="00E039A0" w:rsidRDefault="00FB64FE" w:rsidP="00D56211">
      <w:pPr>
        <w:rPr>
          <w:rFonts w:ascii="Calibri" w:eastAsia="Times New Roman" w:hAnsi="Calibri" w:cs="Calibri"/>
          <w:color w:val="000000"/>
        </w:rPr>
      </w:pPr>
    </w:p>
    <w:sectPr w:rsidR="00FB64FE" w:rsidRPr="00E03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AE"/>
    <w:rsid w:val="00020234"/>
    <w:rsid w:val="00160B83"/>
    <w:rsid w:val="002215F8"/>
    <w:rsid w:val="00252E4A"/>
    <w:rsid w:val="0031642A"/>
    <w:rsid w:val="00505980"/>
    <w:rsid w:val="0056445B"/>
    <w:rsid w:val="006F0749"/>
    <w:rsid w:val="00784567"/>
    <w:rsid w:val="007E31A0"/>
    <w:rsid w:val="00934663"/>
    <w:rsid w:val="009C0BAE"/>
    <w:rsid w:val="00B5702F"/>
    <w:rsid w:val="00D56211"/>
    <w:rsid w:val="00E039A0"/>
    <w:rsid w:val="00E36AF0"/>
    <w:rsid w:val="00E875C7"/>
    <w:rsid w:val="00F243E8"/>
    <w:rsid w:val="00FB64FE"/>
    <w:rsid w:val="00FC6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CB5C"/>
  <w15:chartTrackingRefBased/>
  <w15:docId w15:val="{42059222-34FB-4851-B11C-D16410CC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79224">
      <w:bodyDiv w:val="1"/>
      <w:marLeft w:val="0"/>
      <w:marRight w:val="0"/>
      <w:marTop w:val="0"/>
      <w:marBottom w:val="0"/>
      <w:divBdr>
        <w:top w:val="none" w:sz="0" w:space="0" w:color="auto"/>
        <w:left w:val="none" w:sz="0" w:space="0" w:color="auto"/>
        <w:bottom w:val="none" w:sz="0" w:space="0" w:color="auto"/>
        <w:right w:val="none" w:sz="0" w:space="0" w:color="auto"/>
      </w:divBdr>
    </w:div>
    <w:div w:id="93064272">
      <w:bodyDiv w:val="1"/>
      <w:marLeft w:val="0"/>
      <w:marRight w:val="0"/>
      <w:marTop w:val="0"/>
      <w:marBottom w:val="0"/>
      <w:divBdr>
        <w:top w:val="none" w:sz="0" w:space="0" w:color="auto"/>
        <w:left w:val="none" w:sz="0" w:space="0" w:color="auto"/>
        <w:bottom w:val="none" w:sz="0" w:space="0" w:color="auto"/>
        <w:right w:val="none" w:sz="0" w:space="0" w:color="auto"/>
      </w:divBdr>
    </w:div>
    <w:div w:id="542639974">
      <w:bodyDiv w:val="1"/>
      <w:marLeft w:val="0"/>
      <w:marRight w:val="0"/>
      <w:marTop w:val="0"/>
      <w:marBottom w:val="0"/>
      <w:divBdr>
        <w:top w:val="none" w:sz="0" w:space="0" w:color="auto"/>
        <w:left w:val="none" w:sz="0" w:space="0" w:color="auto"/>
        <w:bottom w:val="none" w:sz="0" w:space="0" w:color="auto"/>
        <w:right w:val="none" w:sz="0" w:space="0" w:color="auto"/>
      </w:divBdr>
    </w:div>
    <w:div w:id="906261867">
      <w:bodyDiv w:val="1"/>
      <w:marLeft w:val="0"/>
      <w:marRight w:val="0"/>
      <w:marTop w:val="0"/>
      <w:marBottom w:val="0"/>
      <w:divBdr>
        <w:top w:val="none" w:sz="0" w:space="0" w:color="auto"/>
        <w:left w:val="none" w:sz="0" w:space="0" w:color="auto"/>
        <w:bottom w:val="none" w:sz="0" w:space="0" w:color="auto"/>
        <w:right w:val="none" w:sz="0" w:space="0" w:color="auto"/>
      </w:divBdr>
    </w:div>
    <w:div w:id="1071737089">
      <w:bodyDiv w:val="1"/>
      <w:marLeft w:val="0"/>
      <w:marRight w:val="0"/>
      <w:marTop w:val="0"/>
      <w:marBottom w:val="0"/>
      <w:divBdr>
        <w:top w:val="none" w:sz="0" w:space="0" w:color="auto"/>
        <w:left w:val="none" w:sz="0" w:space="0" w:color="auto"/>
        <w:bottom w:val="none" w:sz="0" w:space="0" w:color="auto"/>
        <w:right w:val="none" w:sz="0" w:space="0" w:color="auto"/>
      </w:divBdr>
    </w:div>
    <w:div w:id="1746684118">
      <w:bodyDiv w:val="1"/>
      <w:marLeft w:val="0"/>
      <w:marRight w:val="0"/>
      <w:marTop w:val="0"/>
      <w:marBottom w:val="0"/>
      <w:divBdr>
        <w:top w:val="none" w:sz="0" w:space="0" w:color="auto"/>
        <w:left w:val="none" w:sz="0" w:space="0" w:color="auto"/>
        <w:bottom w:val="none" w:sz="0" w:space="0" w:color="auto"/>
        <w:right w:val="none" w:sz="0" w:space="0" w:color="auto"/>
      </w:divBdr>
    </w:div>
    <w:div w:id="1985114454">
      <w:bodyDiv w:val="1"/>
      <w:marLeft w:val="0"/>
      <w:marRight w:val="0"/>
      <w:marTop w:val="0"/>
      <w:marBottom w:val="0"/>
      <w:divBdr>
        <w:top w:val="none" w:sz="0" w:space="0" w:color="auto"/>
        <w:left w:val="none" w:sz="0" w:space="0" w:color="auto"/>
        <w:bottom w:val="none" w:sz="0" w:space="0" w:color="auto"/>
        <w:right w:val="none" w:sz="0" w:space="0" w:color="auto"/>
      </w:divBdr>
    </w:div>
    <w:div w:id="2097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'0'!$H$1</c:f>
              <c:strCache>
                <c:ptCount val="1"/>
                <c:pt idx="0">
                  <c:v>CPI</c:v>
                </c:pt>
              </c:strCache>
            </c:strRef>
          </c:tx>
          <c:spPr>
            <a:solidFill>
              <a:schemeClr val="accent1"/>
            </a:solidFill>
            <a:ln>
              <a:noFill/>
            </a:ln>
            <a:effectLst/>
          </c:spPr>
          <c:invertIfNegative val="0"/>
          <c:cat>
            <c:numRef>
              <c:f>'0'!$M$2:$M$19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f>'0'!$H$2:$H$19</c:f>
              <c:numCache>
                <c:formatCode>General</c:formatCode>
                <c:ptCount val="18"/>
                <c:pt idx="0">
                  <c:v>1.3969149999999999</c:v>
                </c:pt>
                <c:pt idx="1">
                  <c:v>1.1669780000000001</c:v>
                </c:pt>
                <c:pt idx="2">
                  <c:v>1.131097</c:v>
                </c:pt>
                <c:pt idx="3">
                  <c:v>1.3741840000000001</c:v>
                </c:pt>
                <c:pt idx="4">
                  <c:v>1.129715</c:v>
                </c:pt>
                <c:pt idx="5">
                  <c:v>1.0890569999999999</c:v>
                </c:pt>
                <c:pt idx="6">
                  <c:v>1.236699</c:v>
                </c:pt>
                <c:pt idx="7">
                  <c:v>1.0745830000000001</c:v>
                </c:pt>
                <c:pt idx="8">
                  <c:v>1.057491</c:v>
                </c:pt>
                <c:pt idx="9">
                  <c:v>1.524991</c:v>
                </c:pt>
                <c:pt idx="10">
                  <c:v>1.2952840000000001</c:v>
                </c:pt>
                <c:pt idx="11">
                  <c:v>1.259431</c:v>
                </c:pt>
                <c:pt idx="12">
                  <c:v>1.501827</c:v>
                </c:pt>
                <c:pt idx="13">
                  <c:v>1.257647</c:v>
                </c:pt>
                <c:pt idx="14">
                  <c:v>1.217276</c:v>
                </c:pt>
                <c:pt idx="15">
                  <c:v>1.3644000000000001</c:v>
                </c:pt>
                <c:pt idx="16">
                  <c:v>1.20286</c:v>
                </c:pt>
                <c:pt idx="17">
                  <c:v>1.1857679999999999</c:v>
                </c:pt>
              </c:numCache>
            </c:numRef>
          </c:val>
          <c:extLst>
            <c:ext xmlns:c16="http://schemas.microsoft.com/office/drawing/2014/chart" uri="{C3380CC4-5D6E-409C-BE32-E72D297353CC}">
              <c16:uniqueId val="{00000000-CBD7-4C4F-8375-D4A65C72615C}"/>
            </c:ext>
          </c:extLst>
        </c:ser>
        <c:dLbls>
          <c:showLegendKey val="0"/>
          <c:showVal val="0"/>
          <c:showCatName val="0"/>
          <c:showSerName val="0"/>
          <c:showPercent val="0"/>
          <c:showBubbleSize val="0"/>
        </c:dLbls>
        <c:gapWidth val="219"/>
        <c:overlap val="-27"/>
        <c:axId val="409924648"/>
        <c:axId val="409926944"/>
      </c:barChart>
      <c:catAx>
        <c:axId val="409924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26944"/>
        <c:crosses val="autoZero"/>
        <c:auto val="1"/>
        <c:lblAlgn val="ctr"/>
        <c:lblOffset val="100"/>
        <c:noMultiLvlLbl val="0"/>
      </c:catAx>
      <c:valAx>
        <c:axId val="409926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92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'0'!$L$1</c:f>
              <c:strCache>
                <c:ptCount val="1"/>
                <c:pt idx="0">
                  <c:v>Cache Miss Rate</c:v>
                </c:pt>
              </c:strCache>
            </c:strRef>
          </c:tx>
          <c:spPr>
            <a:solidFill>
              <a:schemeClr val="accent1"/>
            </a:solidFill>
            <a:ln>
              <a:noFill/>
            </a:ln>
            <a:effectLst/>
          </c:spPr>
          <c:invertIfNegative val="0"/>
          <c:val>
            <c:numRef>
              <c:f>'0'!$L$2:$L$19</c:f>
              <c:numCache>
                <c:formatCode>General</c:formatCode>
                <c:ptCount val="18"/>
                <c:pt idx="0">
                  <c:v>3.8759000000000002E-2</c:v>
                </c:pt>
                <c:pt idx="1">
                  <c:v>1.3998E-2</c:v>
                </c:pt>
                <c:pt idx="2">
                  <c:v>1.022E-2</c:v>
                </c:pt>
                <c:pt idx="3">
                  <c:v>3.6276999999999997E-2</c:v>
                </c:pt>
                <c:pt idx="4">
                  <c:v>9.9550000000000003E-3</c:v>
                </c:pt>
                <c:pt idx="5">
                  <c:v>5.5770000000000004E-3</c:v>
                </c:pt>
                <c:pt idx="6">
                  <c:v>2.1471000000000001E-2</c:v>
                </c:pt>
                <c:pt idx="7">
                  <c:v>4.0150000000000003E-3</c:v>
                </c:pt>
                <c:pt idx="8">
                  <c:v>2.1749999999999999E-3</c:v>
                </c:pt>
                <c:pt idx="9">
                  <c:v>3.8759000000000002E-2</c:v>
                </c:pt>
                <c:pt idx="10">
                  <c:v>1.3998E-2</c:v>
                </c:pt>
                <c:pt idx="11">
                  <c:v>1.022E-2</c:v>
                </c:pt>
                <c:pt idx="12">
                  <c:v>3.6276999999999997E-2</c:v>
                </c:pt>
                <c:pt idx="13">
                  <c:v>9.9550000000000003E-3</c:v>
                </c:pt>
                <c:pt idx="14">
                  <c:v>5.5770000000000004E-3</c:v>
                </c:pt>
                <c:pt idx="15">
                  <c:v>2.1471000000000001E-2</c:v>
                </c:pt>
                <c:pt idx="16">
                  <c:v>4.0150000000000003E-3</c:v>
                </c:pt>
                <c:pt idx="17">
                  <c:v>2.1749999999999999E-3</c:v>
                </c:pt>
              </c:numCache>
            </c:numRef>
          </c:val>
          <c:extLst>
            <c:ext xmlns:c16="http://schemas.microsoft.com/office/drawing/2014/chart" uri="{C3380CC4-5D6E-409C-BE32-E72D297353CC}">
              <c16:uniqueId val="{00000000-42BC-4179-B988-41C1FF727DE3}"/>
            </c:ext>
          </c:extLst>
        </c:ser>
        <c:dLbls>
          <c:showLegendKey val="0"/>
          <c:showVal val="0"/>
          <c:showCatName val="0"/>
          <c:showSerName val="0"/>
          <c:showPercent val="0"/>
          <c:showBubbleSize val="0"/>
        </c:dLbls>
        <c:gapWidth val="219"/>
        <c:overlap val="-27"/>
        <c:axId val="540886808"/>
        <c:axId val="540885168"/>
      </c:barChart>
      <c:catAx>
        <c:axId val="54088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85168"/>
        <c:crosses val="autoZero"/>
        <c:auto val="1"/>
        <c:lblAlgn val="ctr"/>
        <c:lblOffset val="100"/>
        <c:noMultiLvlLbl val="0"/>
      </c:catAx>
      <c:valAx>
        <c:axId val="540885168"/>
        <c:scaling>
          <c:orientation val="minMax"/>
          <c:max val="4.0000000000000008E-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86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2"/>
          <c:tx>
            <c:strRef>
              <c:f>'0'!$G$1</c:f>
              <c:strCache>
                <c:ptCount val="1"/>
                <c:pt idx="0">
                  <c:v>Total Correct Branch Predictions</c:v>
                </c:pt>
              </c:strCache>
            </c:strRef>
          </c:tx>
          <c:spPr>
            <a:solidFill>
              <a:schemeClr val="accent1"/>
            </a:solidFill>
            <a:ln>
              <a:noFill/>
            </a:ln>
            <a:effectLst/>
          </c:spPr>
          <c:invertIfNegative val="0"/>
          <c:val>
            <c:numRef>
              <c:f>'0'!$G$2:$G$19</c:f>
              <c:numCache>
                <c:formatCode>General</c:formatCode>
                <c:ptCount val="18"/>
                <c:pt idx="0">
                  <c:v>5730</c:v>
                </c:pt>
                <c:pt idx="1">
                  <c:v>5739</c:v>
                </c:pt>
                <c:pt idx="2">
                  <c:v>5744</c:v>
                </c:pt>
                <c:pt idx="3">
                  <c:v>5276</c:v>
                </c:pt>
                <c:pt idx="4">
                  <c:v>5736</c:v>
                </c:pt>
                <c:pt idx="5">
                  <c:v>5746</c:v>
                </c:pt>
                <c:pt idx="6">
                  <c:v>5729</c:v>
                </c:pt>
                <c:pt idx="7">
                  <c:v>5749</c:v>
                </c:pt>
                <c:pt idx="8">
                  <c:v>5749</c:v>
                </c:pt>
                <c:pt idx="9">
                  <c:v>1279</c:v>
                </c:pt>
                <c:pt idx="10">
                  <c:v>1280</c:v>
                </c:pt>
                <c:pt idx="11">
                  <c:v>1284</c:v>
                </c:pt>
                <c:pt idx="12">
                  <c:v>1290</c:v>
                </c:pt>
                <c:pt idx="13">
                  <c:v>1290</c:v>
                </c:pt>
                <c:pt idx="14">
                  <c:v>1290</c:v>
                </c:pt>
                <c:pt idx="15">
                  <c:v>1291</c:v>
                </c:pt>
                <c:pt idx="16">
                  <c:v>1291</c:v>
                </c:pt>
                <c:pt idx="17">
                  <c:v>1291</c:v>
                </c:pt>
              </c:numCache>
            </c:numRef>
          </c:val>
          <c:extLst>
            <c:ext xmlns:c16="http://schemas.microsoft.com/office/drawing/2014/chart" uri="{C3380CC4-5D6E-409C-BE32-E72D297353CC}">
              <c16:uniqueId val="{00000000-D4A2-4171-8A8C-934F2D92D781}"/>
            </c:ext>
          </c:extLst>
        </c:ser>
        <c:dLbls>
          <c:showLegendKey val="0"/>
          <c:showVal val="0"/>
          <c:showCatName val="0"/>
          <c:showSerName val="0"/>
          <c:showPercent val="0"/>
          <c:showBubbleSize val="0"/>
        </c:dLbls>
        <c:gapWidth val="219"/>
        <c:overlap val="-27"/>
        <c:axId val="531432536"/>
        <c:axId val="531383400"/>
        <c:extLst>
          <c:ext xmlns:c15="http://schemas.microsoft.com/office/drawing/2012/chart" uri="{02D57815-91ED-43cb-92C2-25804820EDAC}">
            <c15:filteredBarSeries>
              <c15:ser>
                <c:idx val="0"/>
                <c:order val="0"/>
                <c:tx>
                  <c:strRef>
                    <c:extLst>
                      <c:ext uri="{02D57815-91ED-43cb-92C2-25804820EDAC}">
                        <c15:formulaRef>
                          <c15:sqref>'0'!$G$1</c15:sqref>
                        </c15:formulaRef>
                      </c:ext>
                    </c:extLst>
                    <c:strCache>
                      <c:ptCount val="1"/>
                      <c:pt idx="0">
                        <c:v>Total Correct Branch Predictions</c:v>
                      </c:pt>
                    </c:strCache>
                  </c:strRef>
                </c:tx>
                <c:spPr>
                  <a:solidFill>
                    <a:schemeClr val="accent1"/>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2-D4A2-4171-8A8C-934F2D92D781}"/>
                    </c:ext>
                  </c:extLst>
                </c:dPt>
                <c:dPt>
                  <c:idx val="1"/>
                  <c:invertIfNegative val="0"/>
                  <c:bubble3D val="0"/>
                  <c:spPr>
                    <a:solidFill>
                      <a:srgbClr val="FF0000"/>
                    </a:solidFill>
                    <a:ln>
                      <a:noFill/>
                    </a:ln>
                    <a:effectLst/>
                  </c:spPr>
                  <c:extLst>
                    <c:ext xmlns:c16="http://schemas.microsoft.com/office/drawing/2014/chart" uri="{C3380CC4-5D6E-409C-BE32-E72D297353CC}">
                      <c16:uniqueId val="{00000004-D4A2-4171-8A8C-934F2D92D781}"/>
                    </c:ext>
                  </c:extLst>
                </c:dPt>
                <c:dPt>
                  <c:idx val="2"/>
                  <c:invertIfNegative val="0"/>
                  <c:bubble3D val="0"/>
                  <c:spPr>
                    <a:solidFill>
                      <a:srgbClr val="FFC000"/>
                    </a:solidFill>
                    <a:ln>
                      <a:noFill/>
                    </a:ln>
                    <a:effectLst/>
                  </c:spPr>
                  <c:extLst>
                    <c:ext xmlns:c16="http://schemas.microsoft.com/office/drawing/2014/chart" uri="{C3380CC4-5D6E-409C-BE32-E72D297353CC}">
                      <c16:uniqueId val="{00000006-D4A2-4171-8A8C-934F2D92D781}"/>
                    </c:ext>
                  </c:extLst>
                </c:dPt>
                <c:dPt>
                  <c:idx val="3"/>
                  <c:invertIfNegative val="0"/>
                  <c:bubble3D val="0"/>
                  <c:spPr>
                    <a:solidFill>
                      <a:srgbClr val="7030A0"/>
                    </a:solidFill>
                    <a:ln>
                      <a:noFill/>
                    </a:ln>
                    <a:effectLst/>
                  </c:spPr>
                  <c:extLst>
                    <c:ext xmlns:c16="http://schemas.microsoft.com/office/drawing/2014/chart" uri="{C3380CC4-5D6E-409C-BE32-E72D297353CC}">
                      <c16:uniqueId val="{00000008-D4A2-4171-8A8C-934F2D92D781}"/>
                    </c:ext>
                  </c:extLst>
                </c:dPt>
                <c:dPt>
                  <c:idx val="4"/>
                  <c:invertIfNegative val="0"/>
                  <c:bubble3D val="0"/>
                  <c:spPr>
                    <a:solidFill>
                      <a:srgbClr val="92D050"/>
                    </a:solidFill>
                    <a:ln>
                      <a:noFill/>
                    </a:ln>
                    <a:effectLst/>
                  </c:spPr>
                  <c:extLst>
                    <c:ext xmlns:c16="http://schemas.microsoft.com/office/drawing/2014/chart" uri="{C3380CC4-5D6E-409C-BE32-E72D297353CC}">
                      <c16:uniqueId val="{0000000A-D4A2-4171-8A8C-934F2D92D781}"/>
                    </c:ext>
                  </c:extLst>
                </c:dPt>
                <c:dPt>
                  <c:idx val="5"/>
                  <c:invertIfNegative val="0"/>
                  <c:bubble3D val="0"/>
                  <c:spPr>
                    <a:solidFill>
                      <a:srgbClr val="00B050"/>
                    </a:solidFill>
                    <a:ln>
                      <a:noFill/>
                    </a:ln>
                    <a:effectLst/>
                  </c:spPr>
                  <c:extLst>
                    <c:ext xmlns:c16="http://schemas.microsoft.com/office/drawing/2014/chart" uri="{C3380CC4-5D6E-409C-BE32-E72D297353CC}">
                      <c16:uniqueId val="{0000000C-D4A2-4171-8A8C-934F2D92D781}"/>
                    </c:ext>
                  </c:extLst>
                </c:dPt>
                <c:dPt>
                  <c:idx val="6"/>
                  <c:invertIfNegative val="0"/>
                  <c:bubble3D val="0"/>
                  <c:spPr>
                    <a:solidFill>
                      <a:srgbClr val="00B0F0"/>
                    </a:solidFill>
                    <a:ln>
                      <a:noFill/>
                    </a:ln>
                    <a:effectLst/>
                  </c:spPr>
                  <c:extLst>
                    <c:ext xmlns:c16="http://schemas.microsoft.com/office/drawing/2014/chart" uri="{C3380CC4-5D6E-409C-BE32-E72D297353CC}">
                      <c16:uniqueId val="{0000000E-D4A2-4171-8A8C-934F2D92D781}"/>
                    </c:ext>
                  </c:extLst>
                </c:dPt>
                <c:dPt>
                  <c:idx val="7"/>
                  <c:invertIfNegative val="0"/>
                  <c:bubble3D val="0"/>
                  <c:spPr>
                    <a:solidFill>
                      <a:srgbClr val="0070C0"/>
                    </a:solidFill>
                    <a:ln>
                      <a:noFill/>
                    </a:ln>
                    <a:effectLst/>
                  </c:spPr>
                  <c:extLst>
                    <c:ext xmlns:c16="http://schemas.microsoft.com/office/drawing/2014/chart" uri="{C3380CC4-5D6E-409C-BE32-E72D297353CC}">
                      <c16:uniqueId val="{00000010-D4A2-4171-8A8C-934F2D92D781}"/>
                    </c:ext>
                  </c:extLst>
                </c:dPt>
                <c:dPt>
                  <c:idx val="8"/>
                  <c:invertIfNegative val="0"/>
                  <c:bubble3D val="0"/>
                  <c:spPr>
                    <a:solidFill>
                      <a:srgbClr val="002060"/>
                    </a:solidFill>
                    <a:ln>
                      <a:noFill/>
                    </a:ln>
                    <a:effectLst/>
                  </c:spPr>
                  <c:extLst>
                    <c:ext xmlns:c16="http://schemas.microsoft.com/office/drawing/2014/chart" uri="{C3380CC4-5D6E-409C-BE32-E72D297353CC}">
                      <c16:uniqueId val="{00000012-D4A2-4171-8A8C-934F2D92D781}"/>
                    </c:ext>
                  </c:extLst>
                </c:dPt>
                <c:cat>
                  <c:numRef>
                    <c:extLst>
                      <c:ext uri="{02D57815-91ED-43cb-92C2-25804820EDAC}">
                        <c15:formulaRef>
                          <c15:sqref>'0'!$M$2:$M$19</c15:sqref>
                        </c15:formulaRef>
                      </c:ext>
                    </c:extLst>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cat>
                <c:val>
                  <c:numRef>
                    <c:extLst>
                      <c:ext uri="{02D57815-91ED-43cb-92C2-25804820EDAC}">
                        <c15:formulaRef>
                          <c15:sqref>'0'!$G$2:$G$10</c15:sqref>
                        </c15:formulaRef>
                      </c:ext>
                    </c:extLst>
                    <c:numCache>
                      <c:formatCode>General</c:formatCode>
                      <c:ptCount val="9"/>
                      <c:pt idx="0">
                        <c:v>5730</c:v>
                      </c:pt>
                      <c:pt idx="1">
                        <c:v>5739</c:v>
                      </c:pt>
                      <c:pt idx="2">
                        <c:v>5744</c:v>
                      </c:pt>
                      <c:pt idx="3">
                        <c:v>5276</c:v>
                      </c:pt>
                      <c:pt idx="4">
                        <c:v>5736</c:v>
                      </c:pt>
                      <c:pt idx="5">
                        <c:v>5746</c:v>
                      </c:pt>
                      <c:pt idx="6">
                        <c:v>5729</c:v>
                      </c:pt>
                      <c:pt idx="7">
                        <c:v>5749</c:v>
                      </c:pt>
                      <c:pt idx="8">
                        <c:v>5749</c:v>
                      </c:pt>
                    </c:numCache>
                  </c:numRef>
                </c:val>
                <c:extLst>
                  <c:ext xmlns:c16="http://schemas.microsoft.com/office/drawing/2014/chart" uri="{C3380CC4-5D6E-409C-BE32-E72D297353CC}">
                    <c16:uniqueId val="{00000013-D4A2-4171-8A8C-934F2D92D781}"/>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'0'!$I$1</c15:sqref>
                        </c15:formulaRef>
                      </c:ext>
                    </c:extLst>
                    <c:strCache>
                      <c:ptCount val="1"/>
                      <c:pt idx="0">
                        <c:v>Number of Cache Accesses</c:v>
                      </c:pt>
                    </c:strCache>
                  </c:strRef>
                </c:tx>
                <c:spPr>
                  <a:solidFill>
                    <a:schemeClr val="accent2"/>
                  </a:solidFill>
                  <a:ln>
                    <a:noFill/>
                  </a:ln>
                  <a:effectLst/>
                </c:spPr>
                <c:invertIfNegative val="0"/>
                <c:val>
                  <c:numRef>
                    <c:extLst xmlns:c15="http://schemas.microsoft.com/office/drawing/2012/chart">
                      <c:ext xmlns:c15="http://schemas.microsoft.com/office/drawing/2012/chart" uri="{02D57815-91ED-43cb-92C2-25804820EDAC}">
                        <c15:formulaRef>
                          <c15:sqref>'0'!$I$2:$I$19</c15:sqref>
                        </c15:formulaRef>
                      </c:ext>
                    </c:extLst>
                    <c:numCache>
                      <c:formatCode>General</c:formatCode>
                      <c:ptCount val="18"/>
                      <c:pt idx="0">
                        <c:v>35863</c:v>
                      </c:pt>
                      <c:pt idx="1">
                        <c:v>35863</c:v>
                      </c:pt>
                      <c:pt idx="2">
                        <c:v>35863</c:v>
                      </c:pt>
                      <c:pt idx="3">
                        <c:v>35863</c:v>
                      </c:pt>
                      <c:pt idx="4">
                        <c:v>35863</c:v>
                      </c:pt>
                      <c:pt idx="5">
                        <c:v>35863</c:v>
                      </c:pt>
                      <c:pt idx="6">
                        <c:v>35863</c:v>
                      </c:pt>
                      <c:pt idx="7">
                        <c:v>35863</c:v>
                      </c:pt>
                      <c:pt idx="8">
                        <c:v>35863</c:v>
                      </c:pt>
                      <c:pt idx="9">
                        <c:v>35863</c:v>
                      </c:pt>
                      <c:pt idx="10">
                        <c:v>35863</c:v>
                      </c:pt>
                      <c:pt idx="11">
                        <c:v>35863</c:v>
                      </c:pt>
                      <c:pt idx="12">
                        <c:v>35863</c:v>
                      </c:pt>
                      <c:pt idx="13">
                        <c:v>35863</c:v>
                      </c:pt>
                      <c:pt idx="14">
                        <c:v>35863</c:v>
                      </c:pt>
                      <c:pt idx="15">
                        <c:v>35863</c:v>
                      </c:pt>
                      <c:pt idx="16">
                        <c:v>35863</c:v>
                      </c:pt>
                      <c:pt idx="17">
                        <c:v>35863</c:v>
                      </c:pt>
                    </c:numCache>
                  </c:numRef>
                </c:val>
                <c:extLst xmlns:c15="http://schemas.microsoft.com/office/drawing/2012/chart">
                  <c:ext xmlns:c16="http://schemas.microsoft.com/office/drawing/2014/chart" uri="{C3380CC4-5D6E-409C-BE32-E72D297353CC}">
                    <c16:uniqueId val="{00000014-D4A2-4171-8A8C-934F2D92D781}"/>
                  </c:ext>
                </c:extLst>
              </c15:ser>
            </c15:filteredBarSeries>
          </c:ext>
        </c:extLst>
      </c:barChart>
      <c:catAx>
        <c:axId val="53143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383400"/>
        <c:crosses val="autoZero"/>
        <c:auto val="1"/>
        <c:lblAlgn val="ctr"/>
        <c:lblOffset val="100"/>
        <c:noMultiLvlLbl val="0"/>
      </c:catAx>
      <c:valAx>
        <c:axId val="531383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432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dc:creator>
  <cp:keywords/>
  <dc:description/>
  <cp:lastModifiedBy>Dhruv Rohatgi</cp:lastModifiedBy>
  <cp:revision>2</cp:revision>
  <dcterms:created xsi:type="dcterms:W3CDTF">2017-05-03T22:47:00Z</dcterms:created>
  <dcterms:modified xsi:type="dcterms:W3CDTF">2017-05-03T22:47:00Z</dcterms:modified>
</cp:coreProperties>
</file>