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1A1A2E" w:sz="0"/>
              <w:left w:val="none" w:color="1A1A2E" w:sz="0"/>
              <w:bottom w:val="none" w:color="1A1A2E" w:sz="0"/>
              <w:right w:val="none" w:color="1A1A2E" w:sz="0"/>
            </w:tcBorders>
            <w:shd w:fill="1A1A2E" w:val="clear"/>
            <w:tcMar>
              <w:top w:type="dxa" w:w="320"/>
              <w:left w:type="dxa" w:w="1080"/>
              <w:bottom w:type="dxa" w:w="240"/>
              <w:right w:type="dxa" w:w="1080"/>
            </w:tcMar>
          </w:tcPr>
          <w:p>
            <w:pPr>
              <w:spacing w:after="40" w:before="0"/>
              <w:jc w:val="center"/>
            </w:pPr>
            <w:r>
              <w:rPr>
                <w:rFonts w:ascii="Arial" w:cs="Arial" w:eastAsia="Arial" w:hAnsi="Arial"/>
                <w:b/>
                <w:bCs/>
                <w:caps/>
                <w:color w:val="C9A84C"/>
                <w:sz w:val="18"/>
                <w:szCs w:val="18"/>
              </w:rPr>
              <w:t xml:space="preserve">GEORGIA EMERGENCY MANAGEMENT AND HOMELAND SECURITY AGENCY</w:t>
            </w:r>
          </w:p>
          <w:p>
            <w:pPr>
              <w:spacing w:after="40" w:before="0"/>
              <w:jc w:val="center"/>
            </w:pPr>
            <w:r>
              <w:rPr>
                <w:rFonts w:ascii="Arial" w:cs="Arial" w:eastAsia="Arial" w:hAnsi="Arial"/>
                <w:b/>
                <w:bCs/>
                <w:color w:val="FFFFFF"/>
                <w:sz w:val="22"/>
                <w:szCs w:val="22"/>
              </w:rPr>
              <w:t xml:space="preserve">FUNDS FOR PROTECTION OF COMMUNITIES (FPC) GRANT PROGRAM</w:t>
            </w:r>
          </w:p>
          <w:p>
            <w:pPr>
              <w:pBdr>
                <w:bottom w:val="single" w:color="C9A84C" w:sz="4" w:space="6"/>
              </w:pBdr>
              <w:spacing w:after="80" w:before="0"/>
            </w:pPr>
          </w:p>
          <w:p>
            <w:pPr>
              <w:spacing w:after="60" w:before="0"/>
              <w:jc w:val="center"/>
            </w:pPr>
            <w:r>
              <w:rPr>
                <w:rFonts w:ascii="Arial" w:cs="Arial" w:eastAsia="Arial" w:hAnsi="Arial"/>
                <w:b/>
                <w:bCs/>
                <w:color w:val="FFFFFF"/>
                <w:sz w:val="28"/>
                <w:szCs w:val="28"/>
              </w:rPr>
              <w:t xml:space="preserve">INVESTMENT JUSTIFICATION</w:t>
            </w:r>
          </w:p>
          <w:p>
            <w:pPr>
              <w:spacing w:after="160" w:before="0"/>
              <w:jc w:val="center"/>
            </w:pPr>
            <w:r>
              <w:rPr>
                <w:rFonts w:ascii="Arial" w:cs="Arial" w:eastAsia="Arial" w:hAnsi="Arial"/>
                <w:i/>
                <w:iCs/>
                <w:color w:val="C9A84C"/>
                <w:sz w:val="20"/>
                <w:szCs w:val="20"/>
              </w:rPr>
              <w:t xml:space="preserve">Turner Theological Seminary Corporation  ·  Atlanta, Georgia  ·  Award Request: $150,000</w:t>
            </w:r>
          </w:p>
        </w:tc>
      </w:tr>
    </w:tbl>
    <w:p>
      <w:pPr>
        <w:spacing w:after="0" w:before="160"/>
      </w:pPr>
    </w:p>
    <w:p>
      <w:pPr>
        <w:pBdr>
          <w:bottom w:val="single" w:color="CCCCCC" w:sz="2" w:space="2"/>
          <w:left w:val="single" w:color="1A1A2E" w:sz="16" w:space="8"/>
        </w:pBdr>
        <w:spacing w:after="80" w:before="280"/>
        <w:ind w:left="160"/>
      </w:pPr>
      <w:r>
        <w:rPr>
          <w:rFonts w:ascii="Arial" w:cs="Arial" w:eastAsia="Arial" w:hAnsi="Arial"/>
          <w:b/>
          <w:bCs/>
          <w:color w:val="1A1A2E"/>
          <w:sz w:val="24"/>
          <w:szCs w:val="24"/>
        </w:rPr>
        <w:t xml:space="preserve">PART I  Nonprofit Organization Information</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5040"/>
            <w:gridSpan w:val="2"/>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20" w:before="0"/>
              <w:jc w:val="left"/>
            </w:pPr>
            <w:r>
              <w:rPr>
                <w:rFonts w:ascii="Arial" w:cs="Arial" w:eastAsia="Arial" w:hAnsi="Arial"/>
                <w:b/>
                <w:bCs/>
                <w:color w:val="2E4057"/>
                <w:sz w:val="21"/>
                <w:szCs w:val="21"/>
              </w:rPr>
              <w:t xml:space="preserve">Legal Name of Organization</w:t>
            </w:r>
          </w:p>
          <w:p>
            <w:pPr>
              <w:spacing w:after="0" w:before="0"/>
              <w:jc w:val="left"/>
            </w:pPr>
            <w:r>
              <w:rPr>
                <w:rFonts w:ascii="Arial" w:cs="Arial" w:eastAsia="Arial" w:hAnsi="Arial"/>
                <w:sz w:val="21"/>
                <w:szCs w:val="21"/>
              </w:rPr>
              <w:t xml:space="preserve">Turner Theological Seminary Corporation</w:t>
            </w:r>
          </w:p>
        </w:tc>
        <w:tc>
          <w:tcPr>
            <w:tcW w:type="dxa" w:w="5040"/>
            <w:gridSpan w:val="2"/>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20" w:before="0"/>
              <w:jc w:val="left"/>
            </w:pPr>
            <w:r>
              <w:rPr>
                <w:rFonts w:ascii="Arial" w:cs="Arial" w:eastAsia="Arial" w:hAnsi="Arial"/>
                <w:b/>
                <w:bCs/>
                <w:color w:val="2E4057"/>
                <w:sz w:val="21"/>
                <w:szCs w:val="21"/>
              </w:rPr>
              <w:t xml:space="preserve">EIN / Tax ID</w:t>
            </w:r>
          </w:p>
          <w:p>
            <w:pPr>
              <w:spacing w:after="0" w:before="0"/>
              <w:jc w:val="left"/>
            </w:pPr>
            <w:r>
              <w:rPr>
                <w:rFonts w:ascii="Arial" w:cs="Arial" w:eastAsia="Arial" w:hAnsi="Arial"/>
                <w:color w:val="991B1B"/>
                <w:sz w:val="21"/>
                <w:szCs w:val="21"/>
              </w:rPr>
              <w:t xml:space="preserve">[INSERT EIN]</w:t>
            </w:r>
          </w:p>
        </w:tc>
      </w:tr>
      <w:tr>
        <w:tc>
          <w:tcPr>
            <w:tcW w:type="dxa" w:w="3780"/>
            <w:gridSpan w:val="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before="0"/>
              <w:jc w:val="left"/>
            </w:pPr>
            <w:r>
              <w:rPr>
                <w:rFonts w:ascii="Arial" w:cs="Arial" w:eastAsia="Arial" w:hAnsi="Arial"/>
                <w:b/>
                <w:bCs/>
                <w:color w:val="2E4057"/>
                <w:sz w:val="21"/>
                <w:szCs w:val="21"/>
              </w:rPr>
              <w:t xml:space="preserve">Street Address</w:t>
            </w:r>
          </w:p>
          <w:p>
            <w:pPr>
              <w:spacing w:after="0" w:before="0"/>
              <w:jc w:val="left"/>
            </w:pPr>
            <w:r>
              <w:rPr>
                <w:rFonts w:ascii="Arial" w:cs="Arial" w:eastAsia="Arial" w:hAnsi="Arial"/>
                <w:sz w:val="21"/>
                <w:szCs w:val="21"/>
              </w:rPr>
              <w:t xml:space="preserve">702 Martin Luther King Jr. Drive SW</w:t>
            </w:r>
          </w:p>
        </w:tc>
        <w:tc>
          <w:tcPr>
            <w:tcW w:type="dxa" w:w="1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before="0"/>
              <w:jc w:val="left"/>
            </w:pPr>
            <w:r>
              <w:rPr>
                <w:rFonts w:ascii="Arial" w:cs="Arial" w:eastAsia="Arial" w:hAnsi="Arial"/>
                <w:b/>
                <w:bCs/>
                <w:color w:val="2E4057"/>
                <w:sz w:val="21"/>
                <w:szCs w:val="21"/>
              </w:rPr>
              <w:t xml:space="preserve">City</w:t>
            </w:r>
          </w:p>
          <w:p>
            <w:pPr>
              <w:spacing w:after="0" w:before="0"/>
              <w:jc w:val="left"/>
            </w:pPr>
            <w:r>
              <w:rPr>
                <w:rFonts w:ascii="Arial" w:cs="Arial" w:eastAsia="Arial" w:hAnsi="Arial"/>
                <w:sz w:val="21"/>
                <w:szCs w:val="21"/>
              </w:rPr>
              <w:t xml:space="preserve">Atlanta</w:t>
            </w:r>
          </w:p>
        </w:tc>
        <w:tc>
          <w:tcPr>
            <w:tcW w:type="dxa" w:w="1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before="0"/>
              <w:jc w:val="left"/>
            </w:pPr>
            <w:r>
              <w:rPr>
                <w:rFonts w:ascii="Arial" w:cs="Arial" w:eastAsia="Arial" w:hAnsi="Arial"/>
                <w:b/>
                <w:bCs/>
                <w:color w:val="2E4057"/>
                <w:sz w:val="21"/>
                <w:szCs w:val="21"/>
              </w:rPr>
              <w:t xml:space="preserve">State / Zip / County</w:t>
            </w:r>
          </w:p>
          <w:p>
            <w:pPr>
              <w:spacing w:after="0" w:before="0"/>
              <w:jc w:val="left"/>
            </w:pPr>
            <w:r>
              <w:rPr>
                <w:rFonts w:ascii="Arial" w:cs="Arial" w:eastAsia="Arial" w:hAnsi="Arial"/>
                <w:sz w:val="21"/>
                <w:szCs w:val="21"/>
              </w:rPr>
              <w:t xml:space="preserve">GA / 30314 / Fulton</w:t>
            </w:r>
          </w:p>
        </w:tc>
      </w:tr>
      <w:tr>
        <w:tc>
          <w:tcPr>
            <w:tcW w:type="dxa" w:w="25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20" w:before="0"/>
              <w:jc w:val="left"/>
            </w:pPr>
            <w:r>
              <w:rPr>
                <w:rFonts w:ascii="Arial" w:cs="Arial" w:eastAsia="Arial" w:hAnsi="Arial"/>
                <w:b/>
                <w:bCs/>
                <w:color w:val="2E4057"/>
                <w:sz w:val="21"/>
                <w:szCs w:val="21"/>
              </w:rPr>
              <w:t xml:space="preserve">Building Ownership</w:t>
            </w:r>
          </w:p>
          <w:p>
            <w:pPr>
              <w:spacing w:after="0" w:before="0"/>
              <w:jc w:val="left"/>
            </w:pPr>
            <w:r>
              <w:rPr>
                <w:rFonts w:ascii="Arial" w:cs="Arial" w:eastAsia="Arial" w:hAnsi="Arial"/>
                <w:sz w:val="21"/>
                <w:szCs w:val="21"/>
              </w:rPr>
              <w:t xml:space="preserve">Owned — Fee Simple</w:t>
            </w:r>
          </w:p>
        </w:tc>
        <w:tc>
          <w:tcPr>
            <w:tcW w:type="dxa" w:w="25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20" w:before="0"/>
              <w:jc w:val="left"/>
            </w:pPr>
            <w:r>
              <w:rPr>
                <w:rFonts w:ascii="Arial" w:cs="Arial" w:eastAsia="Arial" w:hAnsi="Arial"/>
                <w:b/>
                <w:bCs/>
                <w:color w:val="2E4057"/>
                <w:sz w:val="21"/>
                <w:szCs w:val="21"/>
              </w:rPr>
              <w:t xml:space="preserve">UEI Number</w:t>
            </w:r>
          </w:p>
          <w:p>
            <w:pPr>
              <w:spacing w:after="0" w:before="0"/>
              <w:jc w:val="left"/>
            </w:pPr>
            <w:r>
              <w:rPr>
                <w:rFonts w:ascii="Arial" w:cs="Arial" w:eastAsia="Arial" w:hAnsi="Arial"/>
                <w:sz w:val="21"/>
                <w:szCs w:val="21"/>
              </w:rPr>
              <w:t xml:space="preserve">YJVWAZM1W2D6</w:t>
            </w:r>
          </w:p>
        </w:tc>
        <w:tc>
          <w:tcPr>
            <w:tcW w:type="dxa" w:w="25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20" w:before="0"/>
              <w:jc w:val="left"/>
            </w:pPr>
            <w:r>
              <w:rPr>
                <w:rFonts w:ascii="Arial" w:cs="Arial" w:eastAsia="Arial" w:hAnsi="Arial"/>
                <w:b/>
                <w:bCs/>
                <w:color w:val="2E4057"/>
                <w:sz w:val="21"/>
                <w:szCs w:val="21"/>
              </w:rPr>
              <w:t xml:space="preserve">Organization Type</w:t>
            </w:r>
          </w:p>
          <w:p>
            <w:pPr>
              <w:spacing w:after="0" w:before="0"/>
              <w:jc w:val="left"/>
            </w:pPr>
            <w:r>
              <w:rPr>
                <w:rFonts w:ascii="Arial" w:cs="Arial" w:eastAsia="Arial" w:hAnsi="Arial"/>
                <w:sz w:val="21"/>
                <w:szCs w:val="21"/>
              </w:rPr>
              <w:t xml:space="preserve">Ideology-based / Spiritual / Religious</w:t>
            </w:r>
          </w:p>
        </w:tc>
        <w:tc>
          <w:tcPr>
            <w:tcW w:type="dxa" w:w="25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20" w:before="0"/>
              <w:jc w:val="left"/>
            </w:pPr>
            <w:r>
              <w:rPr>
                <w:rFonts w:ascii="Arial" w:cs="Arial" w:eastAsia="Arial" w:hAnsi="Arial"/>
                <w:b/>
                <w:bCs/>
                <w:color w:val="2E4057"/>
                <w:sz w:val="21"/>
                <w:szCs w:val="21"/>
              </w:rPr>
              <w:t xml:space="preserve">Religious Affiliation</w:t>
            </w:r>
          </w:p>
          <w:p>
            <w:pPr>
              <w:spacing w:after="0" w:before="0"/>
              <w:jc w:val="left"/>
            </w:pPr>
            <w:r>
              <w:rPr>
                <w:rFonts w:ascii="Arial" w:cs="Arial" w:eastAsia="Arial" w:hAnsi="Arial"/>
                <w:sz w:val="21"/>
                <w:szCs w:val="21"/>
              </w:rPr>
              <w:t xml:space="preserve">Christian (AME)</w:t>
            </w:r>
          </w:p>
        </w:tc>
      </w:tr>
      <w:tr>
        <w:tc>
          <w:tcPr>
            <w:tcW w:type="dxa" w:w="5040"/>
            <w:gridSpan w:val="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before="0"/>
              <w:jc w:val="left"/>
            </w:pPr>
            <w:r>
              <w:rPr>
                <w:rFonts w:ascii="Arial" w:cs="Arial" w:eastAsia="Arial" w:hAnsi="Arial"/>
                <w:b/>
                <w:bCs/>
                <w:color w:val="2E4057"/>
                <w:sz w:val="21"/>
                <w:szCs w:val="21"/>
              </w:rPr>
              <w:t xml:space="preserve">FPC Grant Request</w:t>
            </w:r>
          </w:p>
          <w:p>
            <w:pPr>
              <w:spacing w:after="0" w:before="0"/>
              <w:jc w:val="left"/>
            </w:pPr>
            <w:r>
              <w:rPr>
                <w:rFonts w:ascii="Arial" w:cs="Arial" w:eastAsia="Arial" w:hAnsi="Arial"/>
                <w:b/>
                <w:bCs/>
                <w:color w:val="1A1A2E"/>
                <w:sz w:val="21"/>
                <w:szCs w:val="21"/>
              </w:rPr>
              <w:t xml:space="preserve">$150,000</w:t>
            </w:r>
          </w:p>
        </w:tc>
        <w:tc>
          <w:tcPr>
            <w:tcW w:type="dxa" w:w="5040"/>
            <w:gridSpan w:val="2"/>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20" w:before="0"/>
              <w:jc w:val="left"/>
            </w:pPr>
            <w:r>
              <w:rPr>
                <w:rFonts w:ascii="Arial" w:cs="Arial" w:eastAsia="Arial" w:hAnsi="Arial"/>
                <w:b/>
                <w:bCs/>
                <w:color w:val="2E4057"/>
                <w:sz w:val="21"/>
                <w:szCs w:val="21"/>
              </w:rPr>
              <w:t xml:space="preserve">Annual Security Budget</w:t>
            </w:r>
          </w:p>
          <w:p>
            <w:pPr>
              <w:spacing w:after="0" w:before="0"/>
              <w:jc w:val="left"/>
            </w:pPr>
            <w:r>
              <w:rPr>
                <w:rFonts w:ascii="Arial" w:cs="Arial" w:eastAsia="Arial" w:hAnsi="Arial"/>
                <w:sz w:val="21"/>
                <w:szCs w:val="21"/>
              </w:rPr>
              <w:t xml:space="preserve">$96,885</w:t>
            </w:r>
          </w:p>
        </w:tc>
      </w:tr>
    </w:tbl>
    <w:p>
      <w:pPr>
        <w:spacing w:after="0" w:before="160"/>
      </w:pPr>
    </w:p>
    <w:p>
      <w:pPr>
        <w:pBdr>
          <w:bottom w:val="single" w:color="CCCCCC" w:sz="2" w:space="2"/>
          <w:left w:val="single" w:color="1A1A2E" w:sz="16" w:space="8"/>
        </w:pBdr>
        <w:spacing w:after="80" w:before="280"/>
        <w:ind w:left="160"/>
      </w:pPr>
      <w:r>
        <w:rPr>
          <w:rFonts w:ascii="Arial" w:cs="Arial" w:eastAsia="Arial" w:hAnsi="Arial"/>
          <w:b/>
          <w:bCs/>
          <w:color w:val="1A1A2E"/>
          <w:sz w:val="24"/>
          <w:szCs w:val="24"/>
        </w:rPr>
        <w:t xml:space="preserve">PART II  Background Information</w:t>
      </w:r>
    </w:p>
    <w:p>
      <w:pPr>
        <w:spacing w:after="0" w:before="60"/>
      </w:pPr>
    </w:p>
    <w:p>
      <w:pPr>
        <w:spacing w:after="40" w:before="120"/>
      </w:pPr>
      <w:r>
        <w:rPr>
          <w:rFonts w:ascii="Arial" w:cs="Arial" w:eastAsia="Arial" w:hAnsi="Arial"/>
          <w:b/>
          <w:bCs/>
          <w:color w:val="2E4057"/>
          <w:sz w:val="21"/>
          <w:szCs w:val="21"/>
        </w:rPr>
        <w:t xml:space="preserve">Mission Statement</w:t>
      </w:r>
    </w:p>
    <w:p>
      <w:pPr>
        <w:spacing w:after="160" w:before="0" w:line="300" w:lineRule="auto"/>
        <w:jc w:val="both"/>
      </w:pPr>
      <w:r>
        <w:rPr>
          <w:rFonts w:ascii="Arial" w:cs="Arial" w:eastAsia="Arial" w:hAnsi="Arial"/>
          <w:sz w:val="22"/>
          <w:szCs w:val="22"/>
        </w:rPr>
        <w:t xml:space="preserve">Turner Theological Seminary is a nonprofit theological education institution situated in a high-risk urban area of Atlanta, Georgia, affiliated with the African Methodist Episcopal Church. Founded in 1894, Turner prepares clergy, chaplains, ministry leaders, and community servants through academic instruction, worship, and community-facing programs. The Seminary serves students pursuing graduate theological degrees, ministers seeking continuing education, and community members who participate in public programming and campus ministry activities. Turner's commitment to accessible theological education means maintaining an open-campus culture that draws students, clergy, denominational leaders, and visitors throughout the week.</w:t>
      </w:r>
    </w:p>
    <w:p>
      <w:pPr>
        <w:spacing w:after="40" w:before="120"/>
      </w:pPr>
      <w:r>
        <w:rPr>
          <w:rFonts w:ascii="Arial" w:cs="Arial" w:eastAsia="Arial" w:hAnsi="Arial"/>
          <w:b/>
          <w:bCs/>
          <w:color w:val="2E4057"/>
          <w:sz w:val="21"/>
          <w:szCs w:val="21"/>
        </w:rPr>
        <w:t xml:space="preserve">Eligible Organization Status</w:t>
      </w:r>
    </w:p>
    <w:p>
      <w:pPr>
        <w:spacing w:after="160" w:before="0" w:line="300" w:lineRule="auto"/>
        <w:jc w:val="both"/>
      </w:pPr>
      <w:r>
        <w:rPr>
          <w:rFonts w:ascii="Arial" w:cs="Arial" w:eastAsia="Arial" w:hAnsi="Arial"/>
          <w:sz w:val="22"/>
          <w:szCs w:val="22"/>
        </w:rPr>
        <w:t xml:space="preserve">Turner Theological Seminary Corporation is a registered 501(c)(3) nonprofit organization, tax-exempt under Section 501(a) of the Internal Revenue Code. The Seminary is a domestic organization legally operating in the State of Georgia, and the facility at 702 Martin Luther King Jr. Drive SW, Atlanta, Georgia 30314 is the sole facility for which funding is requested. Turner Theological Seminary is the only nonprofit operating from this address. The organization is actively occupying and functioning from this location.</w:t>
      </w:r>
    </w:p>
    <w:p>
      <w:pPr>
        <w:spacing w:after="40" w:before="120"/>
      </w:pPr>
      <w:r>
        <w:rPr>
          <w:rFonts w:ascii="Arial" w:cs="Arial" w:eastAsia="Arial" w:hAnsi="Arial"/>
          <w:b/>
          <w:bCs/>
          <w:color w:val="2E4057"/>
          <w:sz w:val="21"/>
          <w:szCs w:val="21"/>
        </w:rPr>
        <w:t xml:space="preserve">Urban Area Designation</w:t>
      </w:r>
    </w:p>
    <w:p>
      <w:pPr>
        <w:spacing w:after="160" w:before="0" w:line="300" w:lineRule="auto"/>
        <w:jc w:val="both"/>
      </w:pPr>
      <w:r>
        <w:rPr>
          <w:rFonts w:ascii="Arial" w:cs="Arial" w:eastAsia="Arial" w:hAnsi="Arial"/>
          <w:sz w:val="22"/>
          <w:szCs w:val="22"/>
        </w:rPr>
        <w:t xml:space="preserve">Turner Theological Seminary is physically located within the Atlanta Urban Area Security Initiative (UASI)-designated high-risk urban area. The Seminary's campus is situated at the center of the Atlanta University Center (AUC), one of the most densely concentrated clusters of historically Black colleges and universities in the United States, located in a high-traffic downtown corridor of Atlanta, Fulton County, Georgia.</w:t>
      </w:r>
    </w:p>
    <w:p>
      <w:pPr>
        <w:spacing w:after="0" w:before="80"/>
      </w:pPr>
    </w:p>
    <w:p>
      <w:pPr>
        <w:pBdr>
          <w:bottom w:val="single" w:color="CCCCCC" w:sz="2" w:space="2"/>
          <w:left w:val="single" w:color="1A1A2E" w:sz="16" w:space="8"/>
        </w:pBdr>
        <w:spacing w:after="80" w:before="280"/>
        <w:ind w:left="160"/>
      </w:pPr>
      <w:r>
        <w:rPr>
          <w:rFonts w:ascii="Arial" w:cs="Arial" w:eastAsia="Arial" w:hAnsi="Arial"/>
          <w:b/>
          <w:bCs/>
          <w:color w:val="1A1A2E"/>
          <w:sz w:val="24"/>
          <w:szCs w:val="24"/>
        </w:rPr>
        <w:t xml:space="preserve">PART III  Risk Assessment — Threat, Vulnerability, and Consequence</w:t>
      </w:r>
    </w:p>
    <w:p>
      <w:pPr>
        <w:spacing w:after="0" w:before="60"/>
      </w:pPr>
    </w:p>
    <w:p>
      <w:pPr>
        <w:spacing w:after="40" w:before="120"/>
      </w:pPr>
      <w:r>
        <w:rPr>
          <w:rFonts w:ascii="Arial" w:cs="Arial" w:eastAsia="Arial" w:hAnsi="Arial"/>
          <w:b/>
          <w:bCs/>
          <w:color w:val="2E4057"/>
          <w:sz w:val="21"/>
          <w:szCs w:val="21"/>
        </w:rPr>
        <w:t xml:space="preserve">A. Threat — Documented Incidents and Credible Risk</w:t>
      </w:r>
    </w:p>
    <w:p>
      <w:pPr>
        <w:spacing w:after="160" w:before="0" w:line="300" w:lineRule="auto"/>
        <w:jc w:val="both"/>
      </w:pPr>
      <w:r>
        <w:rPr>
          <w:rFonts w:ascii="Arial" w:cs="Arial" w:eastAsia="Arial" w:hAnsi="Arial"/>
          <w:sz w:val="22"/>
          <w:szCs w:val="22"/>
        </w:rPr>
        <w:t xml:space="preserve">Turner Theological Seminary operates in a densely populated downtown corridor with recurring soft-target conditions that create elevated risk of targeted violence against faith-based institutions. The Seminary's mission-driven activities, open campus, and regular schedule of academic, worship, and community-facing events increase exposure to individuals who may seek to disrupt religious teaching, ministry formation, or public programming.</w:t>
      </w:r>
    </w:p>
    <w:p>
      <w:pPr>
        <w:spacing w:after="160" w:before="0" w:line="300" w:lineRule="auto"/>
        <w:jc w:val="both"/>
      </w:pPr>
      <w:r>
        <w:rPr>
          <w:rFonts w:ascii="Arial" w:cs="Arial" w:eastAsia="Arial" w:hAnsi="Arial"/>
          <w:b/>
          <w:bCs/>
          <w:color w:val="374151"/>
          <w:sz w:val="22"/>
          <w:szCs w:val="22"/>
        </w:rPr>
        <w:t xml:space="preserve">Documented Incident: </w:t>
      </w:r>
      <w:r>
        <w:rPr>
          <w:rFonts w:ascii="Arial" w:cs="Arial" w:eastAsia="Arial" w:hAnsi="Arial"/>
          <w:sz w:val="22"/>
          <w:szCs w:val="22"/>
        </w:rPr>
        <w:t xml:space="preserve">On September 11, 2025, the Atlanta University Center — home to Turner Theological Seminary and its neighboring institutions — received a credible bomb threat that triggered a full-campus lockdown lasting approximately three hours. Incident number HC91125 was assigned by responding law enforcement. The timing of the threat, occurring on the anniversary of the September 11 terrorist attacks, heightened community anxiety and required immediate activation of emergency communication protocols. Law enforcement coordinated with campus security and AUC partners until the threat was cleared. This incident directly established Turner's exposure to hate-motivated violence and terroristic threats.</w:t>
      </w:r>
    </w:p>
    <w:p>
      <w:pPr>
        <w:spacing w:after="160" w:before="0" w:line="300" w:lineRule="auto"/>
        <w:jc w:val="both"/>
      </w:pPr>
      <w:r>
        <w:rPr>
          <w:rFonts w:ascii="Arial" w:cs="Arial" w:eastAsia="Arial" w:hAnsi="Arial"/>
          <w:sz w:val="22"/>
          <w:szCs w:val="22"/>
        </w:rPr>
        <w:t xml:space="preserve">Federal and state intelligence from DHS, the Federal Bureau of Investigation (FBI), and GEMA/HS confirms escalating threats against houses of worship, religious education institutions, and nonprofit organizations operating in major metropolitan areas. Turner's affiliated denomination, the African Methodist Episcopal Church, was the victim of a domestic violent extremism (DVE) attack in which nine people were killed — a documented pattern of targeted violence against AME-affiliated institutions that directly elevates Turner's threat profile.</w:t>
      </w:r>
    </w:p>
    <w:p>
      <w:pPr>
        <w:spacing w:after="160" w:before="0" w:line="300" w:lineRule="auto"/>
        <w:jc w:val="both"/>
      </w:pPr>
      <w:r>
        <w:rPr>
          <w:rFonts w:ascii="Arial" w:cs="Arial" w:eastAsia="Arial" w:hAnsi="Arial"/>
          <w:sz w:val="22"/>
          <w:szCs w:val="22"/>
        </w:rPr>
        <w:t xml:space="preserve">Turner maintains active membership in the AUC Campus Safety and Security Taskforce, coordinated through AUC Campus Safety Officer Michael Hodge, and collaborates with the Atlanta Fire and Safety Department on training and fire safety compliance. These relationships provide access to real-time threat information and intelligence sharing.</w:t>
      </w:r>
    </w:p>
    <w:p>
      <w:pPr>
        <w:spacing w:after="40" w:before="120"/>
      </w:pPr>
      <w:r>
        <w:rPr>
          <w:rFonts w:ascii="Arial" w:cs="Arial" w:eastAsia="Arial" w:hAnsi="Arial"/>
          <w:b/>
          <w:bCs/>
          <w:color w:val="2E4057"/>
          <w:sz w:val="21"/>
          <w:szCs w:val="21"/>
        </w:rPr>
        <w:t xml:space="preserve">B. Vulnerabilities — Identified Security Gaps</w:t>
      </w:r>
    </w:p>
    <w:p>
      <w:pPr>
        <w:spacing w:after="160" w:before="0" w:line="300" w:lineRule="auto"/>
        <w:jc w:val="both"/>
      </w:pPr>
      <w:r>
        <w:rPr>
          <w:rFonts w:ascii="Arial" w:cs="Arial" w:eastAsia="Arial" w:hAnsi="Arial"/>
          <w:sz w:val="22"/>
          <w:szCs w:val="22"/>
        </w:rPr>
        <w:t xml:space="preserve">A formal security vulnerability assessment was conducted on November 17, 2025 by Ako Cromwell, Director of Global Security, GEMA/HS — a retired federal agent with more than 31 years of cumulative law enforcement and security experience including service with the U.S. Department of State. The assessment was attended by Kerwin Walker (Facility, Operations, and Security Manager) and Aliman Neal (Institutional Advancement). The assessment identified critical vulnerabilities across six domains:</w:t>
      </w:r>
    </w:p>
    <w:p>
      <w:pPr>
        <w:pStyle w:val="ListParagraph"/>
        <w:numPr>
          <w:ilvl w:val="0"/>
          <w:numId w:val="2"/>
        </w:numPr>
        <w:spacing w:after="80" w:before="0"/>
      </w:pPr>
      <w:r>
        <w:rPr>
          <w:rFonts w:ascii="Arial" w:cs="Arial" w:eastAsia="Arial" w:hAnsi="Arial"/>
          <w:sz w:val="21"/>
          <w:szCs w:val="21"/>
        </w:rPr>
        <w:t xml:space="preserve">Security and Emergency Management: The Seminary's written security and emergency operations plan addresses some but not all required areas. Training is provided to some employees and volunteers but not to all personnel on a consistent annual schedule.</w:t>
      </w:r>
    </w:p>
    <w:p>
      <w:pPr>
        <w:pStyle w:val="ListParagraph"/>
        <w:numPr>
          <w:ilvl w:val="0"/>
          <w:numId w:val="2"/>
        </w:numPr>
        <w:spacing w:after="80" w:before="0"/>
      </w:pPr>
      <w:r>
        <w:rPr>
          <w:rFonts w:ascii="Arial" w:cs="Arial" w:eastAsia="Arial" w:hAnsi="Arial"/>
          <w:sz w:val="21"/>
          <w:szCs w:val="21"/>
        </w:rPr>
        <w:t xml:space="preserve">Security Force: Current security force protocols lack written post orders and structured communications equipment. Screening procedures before gatherings are inconsistently documented.</w:t>
      </w:r>
    </w:p>
    <w:p>
      <w:pPr>
        <w:pStyle w:val="ListParagraph"/>
        <w:numPr>
          <w:ilvl w:val="0"/>
          <w:numId w:val="2"/>
        </w:numPr>
        <w:spacing w:after="80" w:before="0"/>
      </w:pPr>
      <w:r>
        <w:rPr>
          <w:rFonts w:ascii="Arial" w:cs="Arial" w:eastAsia="Arial" w:hAnsi="Arial"/>
          <w:sz w:val="21"/>
          <w:szCs w:val="21"/>
        </w:rPr>
        <w:t xml:space="preserve">Perimeter Security: Perimeter delineation is insufficient to deter unauthorized vehicle or pedestrian access to the facility. Exterior lighting is inadequate at primary entry points during nighttime hours.</w:t>
      </w:r>
    </w:p>
    <w:p>
      <w:pPr>
        <w:pStyle w:val="ListParagraph"/>
        <w:numPr>
          <w:ilvl w:val="0"/>
          <w:numId w:val="2"/>
        </w:numPr>
        <w:spacing w:after="80" w:before="0"/>
      </w:pPr>
      <w:r>
        <w:rPr>
          <w:rFonts w:ascii="Arial" w:cs="Arial" w:eastAsia="Arial" w:hAnsi="Arial"/>
          <w:sz w:val="21"/>
          <w:szCs w:val="21"/>
        </w:rPr>
        <w:t xml:space="preserve">Parking and Barriers: Existing parking arrangements do not provide adequate standoff distance or vehicle barrier protection against vehicle-borne threats.</w:t>
      </w:r>
    </w:p>
    <w:p>
      <w:pPr>
        <w:pStyle w:val="ListParagraph"/>
        <w:numPr>
          <w:ilvl w:val="0"/>
          <w:numId w:val="2"/>
        </w:numPr>
        <w:spacing w:after="80" w:before="0"/>
      </w:pPr>
      <w:r>
        <w:rPr>
          <w:rFonts w:ascii="Arial" w:cs="Arial" w:eastAsia="Arial" w:hAnsi="Arial"/>
          <w:sz w:val="21"/>
          <w:szCs w:val="21"/>
        </w:rPr>
        <w:t xml:space="preserve">Access Control: Entry control points lack electronic access management. Visitor credentialing and management systems are absent. Multiple building entry points are unsecured.</w:t>
      </w:r>
    </w:p>
    <w:p>
      <w:pPr>
        <w:pStyle w:val="ListParagraph"/>
        <w:numPr>
          <w:ilvl w:val="0"/>
          <w:numId w:val="2"/>
        </w:numPr>
        <w:spacing w:after="80" w:before="0"/>
      </w:pPr>
      <w:r>
        <w:rPr>
          <w:rFonts w:ascii="Arial" w:cs="Arial" w:eastAsia="Arial" w:hAnsi="Arial"/>
          <w:sz w:val="21"/>
          <w:szCs w:val="21"/>
        </w:rPr>
        <w:t xml:space="preserve">Closed-Circuit Video and Surveillance: Interior and exterior surveillance coverage has significant blind spots. No network video recorder (NVR) is in place for evidence retention and monitoring.</w:t>
      </w:r>
    </w:p>
    <w:p>
      <w:pPr>
        <w:spacing w:after="0" w:before="80"/>
      </w:pPr>
    </w:p>
    <w:p>
      <w:pPr>
        <w:spacing w:after="40" w:before="120"/>
      </w:pPr>
      <w:r>
        <w:rPr>
          <w:rFonts w:ascii="Arial" w:cs="Arial" w:eastAsia="Arial" w:hAnsi="Arial"/>
          <w:b/>
          <w:bCs/>
          <w:color w:val="2E4057"/>
          <w:sz w:val="21"/>
          <w:szCs w:val="21"/>
        </w:rPr>
        <w:t xml:space="preserve">C. Potential Consequences</w:t>
      </w:r>
    </w:p>
    <w:p>
      <w:pPr>
        <w:spacing w:after="160" w:before="0" w:line="300" w:lineRule="auto"/>
        <w:jc w:val="both"/>
      </w:pPr>
      <w:r>
        <w:rPr>
          <w:rFonts w:ascii="Arial" w:cs="Arial" w:eastAsia="Arial" w:hAnsi="Arial"/>
          <w:sz w:val="22"/>
          <w:szCs w:val="22"/>
        </w:rPr>
        <w:t xml:space="preserve">If these vulnerabilities remain unaddressed, Turner Theological Seminary faces an increased risk of a targeted violent attack resulting in loss of life among students, faculty, staff, and visitors. Such an attack would disrupt freedom of religion by halting worship and chapel activities central to the Seminary's mission, destabilize academic operations, and potentially displace the residential student population from Talbot Hall. The absence of adequate surveillance and access control also increases the risk of unauthorized entry, delayed threat detection, and severely limited ability to respond effectively during an active incident.</w:t>
      </w:r>
    </w:p>
    <w:p>
      <w:pPr>
        <w:spacing w:after="0" w:before="80"/>
      </w:pPr>
    </w:p>
    <w:p>
      <w:pPr>
        <w:pBdr>
          <w:bottom w:val="single" w:color="CCCCCC" w:sz="2" w:space="2"/>
          <w:left w:val="single" w:color="1A1A2E" w:sz="16" w:space="8"/>
        </w:pBdr>
        <w:spacing w:after="80" w:before="280"/>
        <w:ind w:left="160"/>
      </w:pPr>
      <w:r>
        <w:rPr>
          <w:rFonts w:ascii="Arial" w:cs="Arial" w:eastAsia="Arial" w:hAnsi="Arial"/>
          <w:b/>
          <w:bCs/>
          <w:color w:val="1A1A2E"/>
          <w:sz w:val="24"/>
          <w:szCs w:val="24"/>
        </w:rPr>
        <w:t xml:space="preserve">PART IV  Facility Hardening — Proposed Activities and Investments</w:t>
      </w:r>
    </w:p>
    <w:p>
      <w:pPr>
        <w:spacing w:after="0" w:before="60"/>
      </w:pPr>
    </w:p>
    <w:p>
      <w:pPr>
        <w:spacing w:after="160" w:before="0" w:line="300" w:lineRule="auto"/>
        <w:jc w:val="both"/>
      </w:pPr>
      <w:r>
        <w:rPr>
          <w:rFonts w:ascii="Arial" w:cs="Arial" w:eastAsia="Arial" w:hAnsi="Arial"/>
          <w:sz w:val="22"/>
          <w:szCs w:val="22"/>
        </w:rPr>
        <w:t xml:space="preserve">Turner Theological Seminary requests </w:t>
      </w:r>
      <w:r>
        <w:rPr>
          <w:rFonts w:ascii="Arial" w:cs="Arial" w:eastAsia="Arial" w:hAnsi="Arial"/>
          <w:b/>
          <w:bCs/>
          <w:color w:val="374151"/>
          <w:sz w:val="22"/>
          <w:szCs w:val="22"/>
        </w:rPr>
        <w:t xml:space="preserve">$150,000</w:t>
      </w:r>
      <w:r>
        <w:rPr>
          <w:rFonts w:ascii="Arial" w:cs="Arial" w:eastAsia="Arial" w:hAnsi="Arial"/>
          <w:sz w:val="22"/>
          <w:szCs w:val="22"/>
        </w:rPr>
        <w:t xml:space="preserve"> in FPC grant funding for a coordinated security enhancement project that directly addresses all vulnerabilities identified in the GEMA/HS security assessment. All proposed activities are eligible under the FPC program guidelines and align with the federal NSGP Authorized Equipment List (AEL). No Management and Administration costs are requested; all funds are directed to essential security needs.</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2880"/>
        <w:gridCol w:w="1440"/>
      </w:tblGrid>
      <w:tr>
        <w:tc>
          <w:tcPr>
            <w:tcW w:type="dxa" w:w="1440"/>
            <w:tcBorders>
              <w:top w:val="single" w:color="1A1A2E" w:sz="2"/>
              <w:left w:val="single" w:color="1A1A2E" w:sz="2"/>
              <w:bottom w:val="single" w:color="1A1A2E" w:sz="2"/>
              <w:right w:val="single" w:color="1A1A2E" w:sz="2"/>
            </w:tcBorders>
            <w:shd w:fill="1A1A2E" w:val="clear"/>
            <w:tcMar>
              <w:top w:type="dxa" w:w="90"/>
              <w:left w:type="dxa" w:w="120"/>
              <w:bottom w:type="dxa" w:w="90"/>
              <w:right w:type="dxa" w:w="120"/>
            </w:tcMar>
          </w:tcPr>
          <w:p>
            <w:pPr>
              <w:spacing w:after="120" w:before="0"/>
              <w:jc w:val="center"/>
            </w:pPr>
            <w:r>
              <w:rPr>
                <w:rFonts w:ascii="Arial" w:cs="Arial" w:eastAsia="Arial" w:hAnsi="Arial"/>
                <w:b/>
                <w:bCs/>
                <w:color w:val="FFFFFF"/>
                <w:sz w:val="21"/>
                <w:szCs w:val="21"/>
              </w:rPr>
              <w:t xml:space="preserve">AEL #</w:t>
            </w:r>
          </w:p>
        </w:tc>
        <w:tc>
          <w:tcPr>
            <w:tcW w:type="dxa" w:w="4320"/>
            <w:tcBorders>
              <w:top w:val="single" w:color="1A1A2E" w:sz="2"/>
              <w:left w:val="single" w:color="1A1A2E" w:sz="2"/>
              <w:bottom w:val="single" w:color="1A1A2E" w:sz="2"/>
              <w:right w:val="single" w:color="1A1A2E" w:sz="2"/>
            </w:tcBorders>
            <w:shd w:fill="1A1A2E" w:val="clear"/>
            <w:tcMar>
              <w:top w:type="dxa" w:w="90"/>
              <w:left w:type="dxa" w:w="120"/>
              <w:bottom w:type="dxa" w:w="90"/>
              <w:right w:type="dxa" w:w="120"/>
            </w:tcMar>
          </w:tcPr>
          <w:p>
            <w:pPr>
              <w:spacing w:after="120" w:before="0"/>
              <w:jc w:val="center"/>
            </w:pPr>
            <w:r>
              <w:rPr>
                <w:rFonts w:ascii="Arial" w:cs="Arial" w:eastAsia="Arial" w:hAnsi="Arial"/>
                <w:b/>
                <w:bCs/>
                <w:color w:val="FFFFFF"/>
                <w:sz w:val="21"/>
                <w:szCs w:val="21"/>
              </w:rPr>
              <w:t xml:space="preserve">Activity / Equipment</w:t>
            </w:r>
          </w:p>
        </w:tc>
        <w:tc>
          <w:tcPr>
            <w:tcW w:type="dxa" w:w="2880"/>
            <w:tcBorders>
              <w:top w:val="single" w:color="1A1A2E" w:sz="2"/>
              <w:left w:val="single" w:color="1A1A2E" w:sz="2"/>
              <w:bottom w:val="single" w:color="1A1A2E" w:sz="2"/>
              <w:right w:val="single" w:color="1A1A2E" w:sz="2"/>
            </w:tcBorders>
            <w:shd w:fill="1A1A2E" w:val="clear"/>
            <w:tcMar>
              <w:top w:type="dxa" w:w="90"/>
              <w:left w:type="dxa" w:w="120"/>
              <w:bottom w:type="dxa" w:w="90"/>
              <w:right w:type="dxa" w:w="120"/>
            </w:tcMar>
          </w:tcPr>
          <w:p>
            <w:pPr>
              <w:spacing w:after="120" w:before="0"/>
              <w:jc w:val="center"/>
            </w:pPr>
            <w:r>
              <w:rPr>
                <w:rFonts w:ascii="Arial" w:cs="Arial" w:eastAsia="Arial" w:hAnsi="Arial"/>
                <w:b/>
                <w:bCs/>
                <w:color w:val="FFFFFF"/>
                <w:sz w:val="21"/>
                <w:szCs w:val="21"/>
              </w:rPr>
              <w:t xml:space="preserve">Vulnerability Addressed</w:t>
            </w:r>
          </w:p>
        </w:tc>
        <w:tc>
          <w:tcPr>
            <w:tcW w:type="dxa" w:w="1440"/>
            <w:tcBorders>
              <w:top w:val="single" w:color="1A1A2E" w:sz="2"/>
              <w:left w:val="single" w:color="1A1A2E" w:sz="2"/>
              <w:bottom w:val="single" w:color="1A1A2E" w:sz="2"/>
              <w:right w:val="single" w:color="1A1A2E" w:sz="2"/>
            </w:tcBorders>
            <w:shd w:fill="1A1A2E" w:val="clear"/>
            <w:tcMar>
              <w:top w:type="dxa" w:w="90"/>
              <w:left w:type="dxa" w:w="120"/>
              <w:bottom w:type="dxa" w:w="90"/>
              <w:right w:type="dxa" w:w="120"/>
            </w:tcMar>
          </w:tcPr>
          <w:p>
            <w:pPr>
              <w:spacing w:after="120" w:before="0"/>
              <w:jc w:val="center"/>
            </w:pPr>
            <w:r>
              <w:rPr>
                <w:rFonts w:ascii="Arial" w:cs="Arial" w:eastAsia="Arial" w:hAnsi="Arial"/>
                <w:b/>
                <w:bCs/>
                <w:color w:val="FFFFFF"/>
                <w:sz w:val="21"/>
                <w:szCs w:val="21"/>
              </w:rPr>
              <w:t xml:space="preserve">Amount</w:t>
            </w:r>
          </w:p>
        </w:tc>
      </w:tr>
      <w:tr>
        <w:tc>
          <w:tcPr>
            <w:tcW w:type="dxa" w:w="144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14SW-01-ALRM</w:t>
            </w:r>
          </w:p>
        </w:tc>
        <w:tc>
          <w:tcPr>
            <w:tcW w:type="dxa" w:w="43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Access Control Systems — Electronic card access readers on all primary entry points; door contact alarms; visitor management and credentialing system; lobby intercom system</w:t>
            </w:r>
          </w:p>
        </w:tc>
        <w:tc>
          <w:tcPr>
            <w:tcW w:type="dxa" w:w="288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Unsecured entry points; absence of visitor management; unauthorized access risk</w:t>
            </w:r>
          </w:p>
        </w:tc>
        <w:tc>
          <w:tcPr>
            <w:tcW w:type="dxa" w:w="144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bCs/>
                <w:sz w:val="21"/>
                <w:szCs w:val="21"/>
              </w:rPr>
              <w:t xml:space="preserve">$48,000</w:t>
            </w:r>
          </w:p>
        </w:tc>
      </w:tr>
      <w:tr>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14SW-01-VIDA</w:t>
            </w:r>
          </w:p>
        </w:tc>
        <w:tc>
          <w:tcPr>
            <w:tcW w:type="dxa" w:w="4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Surveillance System — 44 interior and exterior IP cameras with full-campus coverage; Network Video Recorder (NVR) with 90-day retention; monitoring workstation and integration with security personnel</w:t>
            </w:r>
          </w:p>
        </w:tc>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Surveillance blind spots; absence of evidence retention; delayed threat detection</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bCs/>
                <w:sz w:val="21"/>
                <w:szCs w:val="21"/>
              </w:rPr>
              <w:t xml:space="preserve">$52,000</w:t>
            </w:r>
          </w:p>
        </w:tc>
      </w:tr>
      <w:tr>
        <w:tc>
          <w:tcPr>
            <w:tcW w:type="dxa" w:w="144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14SW-01-DOOR</w:t>
            </w:r>
          </w:p>
        </w:tc>
        <w:tc>
          <w:tcPr>
            <w:tcW w:type="dxa" w:w="43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Facility Hardening — Reinforced door hardware at ground-level entry points; security window film on all ground-floor windows; upgraded perimeter lighting at all primary entrances and parking areas</w:t>
            </w:r>
          </w:p>
        </w:tc>
        <w:tc>
          <w:tcPr>
            <w:tcW w:type="dxa" w:w="288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Forced entry vulnerability; inadequate exterior lighting; insufficient perimeter security</w:t>
            </w:r>
          </w:p>
        </w:tc>
        <w:tc>
          <w:tcPr>
            <w:tcW w:type="dxa" w:w="144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bCs/>
                <w:sz w:val="21"/>
                <w:szCs w:val="21"/>
              </w:rPr>
              <w:t xml:space="preserve">$28,000</w:t>
            </w:r>
          </w:p>
        </w:tc>
      </w:tr>
      <w:tr>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04AP-09-ALRT</w:t>
            </w:r>
          </w:p>
        </w:tc>
        <w:tc>
          <w:tcPr>
            <w:tcW w:type="dxa" w:w="43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Emergency Notification — 10 fixed panic/duress buttons at staff stations and high-traffic areas; campus-wide mass notification system capable of 15-second alert deployment; integration with law enforcement dispatch</w:t>
            </w:r>
          </w:p>
        </w:tc>
        <w:tc>
          <w:tcPr>
            <w:tcW w:type="dxa" w:w="28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Absence of rapid notification capability; delayed emergency response; no duress alert infrastructure</w:t>
            </w:r>
          </w:p>
        </w:tc>
        <w:tc>
          <w:tcPr>
            <w:tcW w:type="dxa" w:w="1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bCs/>
                <w:sz w:val="21"/>
                <w:szCs w:val="21"/>
              </w:rPr>
              <w:t xml:space="preserve">$17,000</w:t>
            </w:r>
          </w:p>
        </w:tc>
      </w:tr>
      <w:tr>
        <w:tc>
          <w:tcPr>
            <w:tcW w:type="dxa" w:w="144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21GN-00-TRNG</w:t>
            </w:r>
          </w:p>
        </w:tc>
        <w:tc>
          <w:tcPr>
            <w:tcW w:type="dxa" w:w="43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Security Training and Exercises — Security awareness training for all staff and student leaders; Emergency Action Plan update and distribution; tabletop exercise with AUC Campus Safety Taskforce and local law enforcement</w:t>
            </w:r>
          </w:p>
        </w:tc>
        <w:tc>
          <w:tcPr>
            <w:tcW w:type="dxa" w:w="288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Inconsistent training; incomplete emergency operations plan; limited law enforcement coordination</w:t>
            </w:r>
          </w:p>
        </w:tc>
        <w:tc>
          <w:tcPr>
            <w:tcW w:type="dxa" w:w="144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bCs/>
                <w:sz w:val="21"/>
                <w:szCs w:val="21"/>
              </w:rPr>
              <w:t xml:space="preserve">$5,000</w:t>
            </w:r>
          </w:p>
        </w:tc>
      </w:tr>
      <w:tr>
        <w:tc>
          <w:tcPr>
            <w:tcW w:type="dxa" w:w="10080"/>
            <w:gridSpan w:val="3"/>
            <w:tcBorders>
              <w:top w:val="single" w:color="C9A84C" w:sz="2"/>
              <w:left w:val="single" w:color="C9A84C" w:sz="2"/>
              <w:bottom w:val="single" w:color="C9A84C" w:sz="2"/>
              <w:right w:val="single" w:color="C9A84C" w:sz="2"/>
            </w:tcBorders>
            <w:shd w:fill="C9A84C" w:val="clear"/>
            <w:tcMar>
              <w:top w:type="dxa" w:w="100"/>
              <w:left w:type="dxa" w:w="120"/>
              <w:bottom w:type="dxa" w:w="100"/>
              <w:right w:type="dxa" w:w="120"/>
            </w:tcMar>
          </w:tcPr>
          <w:p>
            <w:pPr>
              <w:spacing w:after="120" w:before="0"/>
              <w:jc w:val="left"/>
            </w:pPr>
            <w:r>
              <w:rPr>
                <w:rFonts w:ascii="Arial" w:cs="Arial" w:eastAsia="Arial" w:hAnsi="Arial"/>
                <w:b/>
                <w:bCs/>
                <w:color w:val="374151"/>
                <w:sz w:val="22"/>
                <w:szCs w:val="22"/>
              </w:rPr>
              <w:t xml:space="preserve">TOTAL FPC GRANT REQUEST</w:t>
            </w:r>
          </w:p>
        </w:tc>
        <w:tc>
          <w:tcPr>
            <w:tcW w:type="dxa" w:w="1440"/>
            <w:tcBorders>
              <w:top w:val="single" w:color="C9A84C" w:sz="2"/>
              <w:left w:val="single" w:color="C9A84C" w:sz="2"/>
              <w:bottom w:val="single" w:color="C9A84C" w:sz="2"/>
              <w:right w:val="single" w:color="C9A84C" w:sz="2"/>
            </w:tcBorders>
            <w:shd w:fill="C9A84C" w:val="clear"/>
            <w:tcMar>
              <w:top w:type="dxa" w:w="100"/>
              <w:left w:type="dxa" w:w="120"/>
              <w:bottom w:type="dxa" w:w="100"/>
              <w:right w:type="dxa" w:w="120"/>
            </w:tcMar>
          </w:tcPr>
          <w:p>
            <w:pPr>
              <w:spacing w:after="120" w:before="0"/>
              <w:jc w:val="center"/>
            </w:pPr>
            <w:r>
              <w:rPr>
                <w:rFonts w:ascii="Arial" w:cs="Arial" w:eastAsia="Arial" w:hAnsi="Arial"/>
                <w:b/>
                <w:bCs/>
                <w:color w:val="374151"/>
                <w:sz w:val="22"/>
                <w:szCs w:val="22"/>
              </w:rPr>
              <w:t xml:space="preserve">$150,000</w:t>
            </w:r>
          </w:p>
        </w:tc>
      </w:tr>
    </w:tbl>
    <w:p>
      <w:pPr>
        <w:spacing w:after="0" w:before="160"/>
      </w:pPr>
    </w:p>
    <w:p>
      <w:pPr>
        <w:pBdr>
          <w:bottom w:val="single" w:color="CCCCCC" w:sz="2" w:space="2"/>
          <w:left w:val="single" w:color="1A1A2E" w:sz="16" w:space="8"/>
        </w:pBdr>
        <w:spacing w:after="80" w:before="280"/>
        <w:ind w:left="160"/>
      </w:pPr>
      <w:r>
        <w:rPr>
          <w:rFonts w:ascii="Arial" w:cs="Arial" w:eastAsia="Arial" w:hAnsi="Arial"/>
          <w:b/>
          <w:bCs/>
          <w:color w:val="1A1A2E"/>
          <w:sz w:val="24"/>
          <w:szCs w:val="24"/>
        </w:rPr>
        <w:t xml:space="preserve">PART V  Project Milestones</w:t>
      </w:r>
    </w:p>
    <w:p>
      <w:pPr>
        <w:spacing w:after="0" w:before="60"/>
      </w:pPr>
    </w:p>
    <w:p>
      <w:pPr>
        <w:spacing w:after="160" w:before="0" w:line="300" w:lineRule="auto"/>
        <w:jc w:val="both"/>
      </w:pPr>
      <w:r>
        <w:rPr>
          <w:rFonts w:ascii="Arial" w:cs="Arial" w:eastAsia="Arial" w:hAnsi="Arial"/>
          <w:sz w:val="22"/>
          <w:szCs w:val="22"/>
        </w:rPr>
        <w:t xml:space="preserve">The period of performance for the FPC grant is June 15, 2026 through May 1, 2027. All proposed security enhancements will be completed within this period. The project will be managed by Kerwin Walker, Facility, Operations, and Security Manager, in coordination with Ako Cromwell, Director of Global Security.</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1A1A2E" w:sz="2"/>
              <w:left w:val="single" w:color="1A1A2E" w:sz="2"/>
              <w:bottom w:val="single" w:color="1A1A2E" w:sz="2"/>
              <w:right w:val="single" w:color="1A1A2E" w:sz="2"/>
            </w:tcBorders>
            <w:shd w:fill="1A1A2E" w:val="clear"/>
            <w:tcMar>
              <w:top w:type="dxa" w:w="90"/>
              <w:left w:type="dxa" w:w="120"/>
              <w:bottom w:type="dxa" w:w="90"/>
              <w:right w:type="dxa" w:w="120"/>
            </w:tcMar>
          </w:tcPr>
          <w:p>
            <w:pPr>
              <w:spacing w:after="120" w:before="0"/>
              <w:jc w:val="center"/>
            </w:pPr>
            <w:r>
              <w:rPr>
                <w:rFonts w:ascii="Arial" w:cs="Arial" w:eastAsia="Arial" w:hAnsi="Arial"/>
                <w:b/>
                <w:bCs/>
                <w:color w:val="FFFFFF"/>
                <w:sz w:val="21"/>
                <w:szCs w:val="21"/>
              </w:rPr>
              <w:t xml:space="preserve">Key Activity / Milestone</w:t>
            </w:r>
          </w:p>
        </w:tc>
        <w:tc>
          <w:tcPr>
            <w:tcW w:type="dxa" w:w="2520"/>
            <w:tcBorders>
              <w:top w:val="single" w:color="1A1A2E" w:sz="2"/>
              <w:left w:val="single" w:color="1A1A2E" w:sz="2"/>
              <w:bottom w:val="single" w:color="1A1A2E" w:sz="2"/>
              <w:right w:val="single" w:color="1A1A2E" w:sz="2"/>
            </w:tcBorders>
            <w:shd w:fill="1A1A2E" w:val="clear"/>
            <w:tcMar>
              <w:top w:type="dxa" w:w="90"/>
              <w:left w:type="dxa" w:w="120"/>
              <w:bottom w:type="dxa" w:w="90"/>
              <w:right w:type="dxa" w:w="120"/>
            </w:tcMar>
          </w:tcPr>
          <w:p>
            <w:pPr>
              <w:spacing w:after="120" w:before="0"/>
              <w:jc w:val="center"/>
            </w:pPr>
            <w:r>
              <w:rPr>
                <w:rFonts w:ascii="Arial" w:cs="Arial" w:eastAsia="Arial" w:hAnsi="Arial"/>
                <w:b/>
                <w:bCs/>
                <w:color w:val="FFFFFF"/>
                <w:sz w:val="21"/>
                <w:szCs w:val="21"/>
              </w:rPr>
              <w:t xml:space="preserve">Start Date</w:t>
            </w:r>
          </w:p>
        </w:tc>
        <w:tc>
          <w:tcPr>
            <w:tcW w:type="dxa" w:w="2520"/>
            <w:tcBorders>
              <w:top w:val="single" w:color="1A1A2E" w:sz="2"/>
              <w:left w:val="single" w:color="1A1A2E" w:sz="2"/>
              <w:bottom w:val="single" w:color="1A1A2E" w:sz="2"/>
              <w:right w:val="single" w:color="1A1A2E" w:sz="2"/>
            </w:tcBorders>
            <w:shd w:fill="1A1A2E" w:val="clear"/>
            <w:tcMar>
              <w:top w:type="dxa" w:w="90"/>
              <w:left w:type="dxa" w:w="120"/>
              <w:bottom w:type="dxa" w:w="90"/>
              <w:right w:type="dxa" w:w="120"/>
            </w:tcMar>
          </w:tcPr>
          <w:p>
            <w:pPr>
              <w:spacing w:after="120" w:before="0"/>
              <w:jc w:val="center"/>
            </w:pPr>
            <w:r>
              <w:rPr>
                <w:rFonts w:ascii="Arial" w:cs="Arial" w:eastAsia="Arial" w:hAnsi="Arial"/>
                <w:b/>
                <w:bCs/>
                <w:color w:val="FFFFFF"/>
                <w:sz w:val="21"/>
                <w:szCs w:val="21"/>
              </w:rPr>
              <w:t xml:space="preserve">Completion Date</w:t>
            </w:r>
          </w:p>
        </w:tc>
      </w:tr>
      <w:tr>
        <w:tc>
          <w:tcPr>
            <w:tcW w:type="dxa" w:w="504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Project Launch — Procurement planning, vendor solicitation, contract award</w:t>
            </w:r>
          </w:p>
        </w:tc>
        <w:tc>
          <w:tcPr>
            <w:tcW w:type="dxa" w:w="25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June 15, 2026</w:t>
            </w:r>
          </w:p>
        </w:tc>
        <w:tc>
          <w:tcPr>
            <w:tcW w:type="dxa" w:w="25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August 15, 2026</w:t>
            </w:r>
          </w:p>
        </w:tc>
      </w:tr>
      <w:tr>
        <w:tc>
          <w:tcPr>
            <w:tcW w:type="dxa" w:w="5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Access Control System Installation and Testing</w:t>
            </w:r>
          </w:p>
        </w:tc>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August 16, 2026</w:t>
            </w:r>
          </w:p>
        </w:tc>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October 15, 2026</w:t>
            </w:r>
          </w:p>
        </w:tc>
      </w:tr>
      <w:tr>
        <w:tc>
          <w:tcPr>
            <w:tcW w:type="dxa" w:w="504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Surveillance System Installation, NVR Configuration, and Integration</w:t>
            </w:r>
          </w:p>
        </w:tc>
        <w:tc>
          <w:tcPr>
            <w:tcW w:type="dxa" w:w="25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October 16, 2026</w:t>
            </w:r>
          </w:p>
        </w:tc>
        <w:tc>
          <w:tcPr>
            <w:tcW w:type="dxa" w:w="25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December 15, 2026</w:t>
            </w:r>
          </w:p>
        </w:tc>
      </w:tr>
      <w:tr>
        <w:tc>
          <w:tcPr>
            <w:tcW w:type="dxa" w:w="5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Facility Hardening — Door hardware, window film, perimeter lighting</w:t>
            </w:r>
          </w:p>
        </w:tc>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December 16, 2026</w:t>
            </w:r>
          </w:p>
        </w:tc>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February 15, 2027</w:t>
            </w:r>
          </w:p>
        </w:tc>
      </w:tr>
      <w:tr>
        <w:tc>
          <w:tcPr>
            <w:tcW w:type="dxa" w:w="504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Emergency Notification and Panic System Deployment</w:t>
            </w:r>
          </w:p>
        </w:tc>
        <w:tc>
          <w:tcPr>
            <w:tcW w:type="dxa" w:w="25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February 16, 2027</w:t>
            </w:r>
          </w:p>
        </w:tc>
        <w:tc>
          <w:tcPr>
            <w:tcW w:type="dxa" w:w="25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March 31, 2027</w:t>
            </w:r>
          </w:p>
        </w:tc>
      </w:tr>
      <w:tr>
        <w:tc>
          <w:tcPr>
            <w:tcW w:type="dxa" w:w="5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Security Training, Emergency Action Plan Update, and Tabletop Exercise</w:t>
            </w:r>
          </w:p>
        </w:tc>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April 1, 2027</w:t>
            </w:r>
          </w:p>
        </w:tc>
        <w:tc>
          <w:tcPr>
            <w:tcW w:type="dxa" w:w="25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April 30, 2027</w:t>
            </w:r>
          </w:p>
        </w:tc>
      </w:tr>
      <w:tr>
        <w:tc>
          <w:tcPr>
            <w:tcW w:type="dxa" w:w="504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Final Documentation, Sustainment Planning, and Closeout</w:t>
            </w:r>
          </w:p>
        </w:tc>
        <w:tc>
          <w:tcPr>
            <w:tcW w:type="dxa" w:w="25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May 1, 2027</w:t>
            </w:r>
          </w:p>
        </w:tc>
        <w:tc>
          <w:tcPr>
            <w:tcW w:type="dxa" w:w="2520"/>
            <w:tcBorders>
              <w:top w:val="single" w:color="CCCCCC" w:sz="2"/>
              <w:left w:val="single" w:color="CCCCCC" w:sz="2"/>
              <w:bottom w:val="single" w:color="CCCCCC" w:sz="2"/>
              <w:right w:val="single" w:color="CCCCCC" w:sz="2"/>
            </w:tcBorders>
            <w:shd w:fill="F4F4F4" w:val="clear"/>
            <w:tcMar>
              <w:top w:type="dxa" w:w="80"/>
              <w:left w:type="dxa" w:w="120"/>
              <w:bottom w:type="dxa" w:w="80"/>
              <w:right w:type="dxa" w:w="120"/>
            </w:tcMar>
          </w:tcPr>
          <w:p>
            <w:pPr>
              <w:spacing w:after="120" w:before="0"/>
              <w:jc w:val="left"/>
            </w:pPr>
            <w:r>
              <w:rPr>
                <w:rFonts w:ascii="Arial" w:cs="Arial" w:eastAsia="Arial" w:hAnsi="Arial"/>
                <w:b w:val="false"/>
                <w:bCs w:val="false"/>
                <w:sz w:val="21"/>
                <w:szCs w:val="21"/>
              </w:rPr>
              <w:t xml:space="preserve">May 1, 2027</w:t>
            </w:r>
          </w:p>
        </w:tc>
      </w:tr>
    </w:tbl>
    <w:p>
      <w:pPr>
        <w:spacing w:after="0" w:before="160"/>
      </w:pPr>
    </w:p>
    <w:p>
      <w:pPr>
        <w:pBdr>
          <w:bottom w:val="single" w:color="CCCCCC" w:sz="2" w:space="2"/>
          <w:left w:val="single" w:color="1A1A2E" w:sz="16" w:space="8"/>
        </w:pBdr>
        <w:spacing w:after="80" w:before="280"/>
        <w:ind w:left="160"/>
      </w:pPr>
      <w:r>
        <w:rPr>
          <w:rFonts w:ascii="Arial" w:cs="Arial" w:eastAsia="Arial" w:hAnsi="Arial"/>
          <w:b/>
          <w:bCs/>
          <w:color w:val="1A1A2E"/>
          <w:sz w:val="24"/>
          <w:szCs w:val="24"/>
        </w:rPr>
        <w:t xml:space="preserve">PART VI  Project Management</w:t>
      </w:r>
    </w:p>
    <w:p>
      <w:pPr>
        <w:spacing w:after="0" w:before="60"/>
      </w:pPr>
    </w:p>
    <w:p>
      <w:pPr>
        <w:spacing w:after="160" w:before="0" w:line="300" w:lineRule="auto"/>
        <w:jc w:val="both"/>
      </w:pPr>
      <w:r>
        <w:rPr>
          <w:rFonts w:ascii="Arial" w:cs="Arial" w:eastAsia="Arial" w:hAnsi="Arial"/>
          <w:sz w:val="22"/>
          <w:szCs w:val="22"/>
        </w:rPr>
        <w:t xml:space="preserve">The project will be managed through Turner's Security Enhancement Team (SET), led by the President and CEO or designee, with representation from Facilities/Operations, Business and Finance, and Campus Safety. Day-to-day project management will be led by:</w:t>
      </w:r>
    </w:p>
    <w:p>
      <w:pPr>
        <w:pStyle w:val="ListParagraph"/>
        <w:numPr>
          <w:ilvl w:val="0"/>
          <w:numId w:val="2"/>
        </w:numPr>
        <w:spacing w:after="80" w:before="0"/>
      </w:pPr>
      <w:r>
        <w:rPr>
          <w:rFonts w:ascii="Arial" w:cs="Arial" w:eastAsia="Arial" w:hAnsi="Arial"/>
          <w:sz w:val="21"/>
          <w:szCs w:val="21"/>
        </w:rPr>
        <w:t xml:space="preserve">Kerwin Walker, Facility, Operations, and Security Manager — kwalker@turnerseminary.org — (404) 903-2134. Mr. Walker brings expertise in facility operations, logistics, and high-volume work order management.</w:t>
      </w:r>
    </w:p>
    <w:p>
      <w:pPr>
        <w:pStyle w:val="ListParagraph"/>
        <w:numPr>
          <w:ilvl w:val="0"/>
          <w:numId w:val="2"/>
        </w:numPr>
        <w:spacing w:after="80" w:before="0"/>
      </w:pPr>
      <w:r>
        <w:rPr>
          <w:rFonts w:ascii="Arial" w:cs="Arial" w:eastAsia="Arial" w:hAnsi="Arial"/>
          <w:sz w:val="21"/>
          <w:szCs w:val="21"/>
        </w:rPr>
        <w:t xml:space="preserve">Ako Cromwell, Director of Global Security — acromwell@amecfo.org — (305) 710-5653. Mr. Cromwell is a retired federal agent with more than 31 years of law enforcement and security experience, including service with the U.S. Department of State and local law enforcement in Georgia.</w:t>
      </w:r>
    </w:p>
    <w:p>
      <w:pPr>
        <w:spacing w:after="0" w:before="100"/>
      </w:pPr>
    </w:p>
    <w:p>
      <w:pPr>
        <w:spacing w:after="160" w:before="0" w:line="300" w:lineRule="auto"/>
        <w:jc w:val="both"/>
      </w:pPr>
      <w:r>
        <w:rPr>
          <w:rFonts w:ascii="Arial" w:cs="Arial" w:eastAsia="Arial" w:hAnsi="Arial"/>
          <w:sz w:val="22"/>
          <w:szCs w:val="22"/>
        </w:rPr>
        <w:t xml:space="preserve">The SET will manage all procurement in compliance with federal and state requirements, supervise installation and system integration, coordinate with GEMA/HS and local law enforcement partners, and track all milestones and financial documentation required for reimbursement. Aliman Neal, Institutional Advancement and Accountant, will serve as the financial compliance lead ensuring proper documentation, grant accounting, and reimbursement submissions throughout the period of performance — aneal@turnerseminary.org — (404) 998-2042.</w:t>
      </w:r>
    </w:p>
    <w:p>
      <w:pPr>
        <w:spacing w:after="0" w:before="160"/>
      </w:pPr>
    </w:p>
    <w:p>
      <w:pPr>
        <w:pBdr>
          <w:bottom w:val="single" w:color="CCCCCC" w:sz="2" w:space="2"/>
          <w:left w:val="single" w:color="1A1A2E" w:sz="16" w:space="8"/>
        </w:pBdr>
        <w:spacing w:after="80" w:before="280"/>
        <w:ind w:left="160"/>
      </w:pPr>
      <w:r>
        <w:rPr>
          <w:rFonts w:ascii="Arial" w:cs="Arial" w:eastAsia="Arial" w:hAnsi="Arial"/>
          <w:b/>
          <w:bCs/>
          <w:color w:val="1A1A2E"/>
          <w:sz w:val="24"/>
          <w:szCs w:val="24"/>
        </w:rPr>
        <w:t xml:space="preserve">PART VII  Measurable Impact</w:t>
      </w:r>
    </w:p>
    <w:p>
      <w:pPr>
        <w:spacing w:after="0" w:before="60"/>
      </w:pPr>
    </w:p>
    <w:p>
      <w:pPr>
        <w:spacing w:after="160" w:before="0" w:line="300" w:lineRule="auto"/>
        <w:jc w:val="both"/>
      </w:pPr>
      <w:r>
        <w:rPr>
          <w:rFonts w:ascii="Arial" w:cs="Arial" w:eastAsia="Arial" w:hAnsi="Arial"/>
          <w:sz w:val="22"/>
          <w:szCs w:val="22"/>
        </w:rPr>
        <w:t xml:space="preserve">Upon completion, the FPC-funded security enhancements will produce the following measurable outputs and outcomes:</w:t>
      </w:r>
    </w:p>
    <w:p>
      <w:pPr>
        <w:pStyle w:val="ListParagraph"/>
        <w:numPr>
          <w:ilvl w:val="0"/>
          <w:numId w:val="2"/>
        </w:numPr>
        <w:spacing w:after="80" w:before="0"/>
      </w:pPr>
      <w:r>
        <w:rPr>
          <w:rFonts w:ascii="Arial" w:cs="Arial" w:eastAsia="Arial" w:hAnsi="Arial"/>
          <w:sz w:val="21"/>
          <w:szCs w:val="21"/>
        </w:rPr>
        <w:t xml:space="preserve">100% of primary building entry points secured with electronic access control — eliminating unauthorized access vulnerability identified in the GEMA/HS assessment</w:t>
      </w:r>
    </w:p>
    <w:p>
      <w:pPr>
        <w:pStyle w:val="ListParagraph"/>
        <w:numPr>
          <w:ilvl w:val="0"/>
          <w:numId w:val="2"/>
        </w:numPr>
        <w:spacing w:after="80" w:before="0"/>
      </w:pPr>
      <w:r>
        <w:rPr>
          <w:rFonts w:ascii="Arial" w:cs="Arial" w:eastAsia="Arial" w:hAnsi="Arial"/>
          <w:sz w:val="21"/>
          <w:szCs w:val="21"/>
        </w:rPr>
        <w:t xml:space="preserve">44 interior and exterior cameras deployed with 90-day NVR retention — achieving complete surveillance coverage of all critical areas and eliminating blind spots</w:t>
      </w:r>
    </w:p>
    <w:p>
      <w:pPr>
        <w:pStyle w:val="ListParagraph"/>
        <w:numPr>
          <w:ilvl w:val="0"/>
          <w:numId w:val="2"/>
        </w:numPr>
        <w:spacing w:after="80" w:before="0"/>
      </w:pPr>
      <w:r>
        <w:rPr>
          <w:rFonts w:ascii="Arial" w:cs="Arial" w:eastAsia="Arial" w:hAnsi="Arial"/>
          <w:sz w:val="21"/>
          <w:szCs w:val="21"/>
        </w:rPr>
        <w:t xml:space="preserve">Campus-wide mass notification system capable of delivering emergency alerts in 15 seconds or less — providing life-safety protection for all students, staff, and visitors</w:t>
      </w:r>
    </w:p>
    <w:p>
      <w:pPr>
        <w:pStyle w:val="ListParagraph"/>
        <w:numPr>
          <w:ilvl w:val="0"/>
          <w:numId w:val="2"/>
        </w:numPr>
        <w:spacing w:after="80" w:before="0"/>
      </w:pPr>
      <w:r>
        <w:rPr>
          <w:rFonts w:ascii="Arial" w:cs="Arial" w:eastAsia="Arial" w:hAnsi="Arial"/>
          <w:sz w:val="21"/>
          <w:szCs w:val="21"/>
        </w:rPr>
        <w:t xml:space="preserve">10 fixed panic/duress buttons installed at staff stations and high-traffic areas — enabling immediate law enforcement notification</w:t>
      </w:r>
    </w:p>
    <w:p>
      <w:pPr>
        <w:pStyle w:val="ListParagraph"/>
        <w:numPr>
          <w:ilvl w:val="0"/>
          <w:numId w:val="2"/>
        </w:numPr>
        <w:spacing w:after="80" w:before="0"/>
      </w:pPr>
      <w:r>
        <w:rPr>
          <w:rFonts w:ascii="Arial" w:cs="Arial" w:eastAsia="Arial" w:hAnsi="Arial"/>
          <w:sz w:val="21"/>
          <w:szCs w:val="21"/>
        </w:rPr>
        <w:t xml:space="preserve">100% of ground-floor windows reinforced with security film — reducing vulnerability to forced entry and projectile threats</w:t>
      </w:r>
    </w:p>
    <w:p>
      <w:pPr>
        <w:pStyle w:val="ListParagraph"/>
        <w:numPr>
          <w:ilvl w:val="0"/>
          <w:numId w:val="2"/>
        </w:numPr>
        <w:spacing w:after="80" w:before="0"/>
      </w:pPr>
      <w:r>
        <w:rPr>
          <w:rFonts w:ascii="Arial" w:cs="Arial" w:eastAsia="Arial" w:hAnsi="Arial"/>
          <w:sz w:val="21"/>
          <w:szCs w:val="21"/>
        </w:rPr>
        <w:t xml:space="preserve">100% of staff and student leaders completing security awareness training — with updated Emergency Action Plan distributed campus-wide</w:t>
      </w:r>
    </w:p>
    <w:p>
      <w:pPr>
        <w:pStyle w:val="ListParagraph"/>
        <w:numPr>
          <w:ilvl w:val="0"/>
          <w:numId w:val="2"/>
        </w:numPr>
        <w:spacing w:after="80" w:before="0"/>
      </w:pPr>
      <w:r>
        <w:rPr>
          <w:rFonts w:ascii="Arial" w:cs="Arial" w:eastAsia="Arial" w:hAnsi="Arial"/>
          <w:sz w:val="21"/>
          <w:szCs w:val="21"/>
        </w:rPr>
        <w:t xml:space="preserve">At least one tabletop exercise conducted in partnership with AUC Campus Safety Taskforce and local law enforcement — producing documented after-action improvements</w:t>
      </w:r>
    </w:p>
    <w:p>
      <w:pPr>
        <w:spacing w:after="0" w:before="100"/>
      </w:pPr>
    </w:p>
    <w:p>
      <w:pPr>
        <w:spacing w:after="160" w:before="0" w:line="300" w:lineRule="auto"/>
        <w:jc w:val="both"/>
      </w:pPr>
      <w:r>
        <w:rPr>
          <w:rFonts w:ascii="Arial" w:cs="Arial" w:eastAsia="Arial" w:hAnsi="Arial"/>
          <w:sz w:val="22"/>
          <w:szCs w:val="22"/>
        </w:rPr>
        <w:t xml:space="preserve">These enhancements collectively reduce the risk of targeted violence, strengthen emergency response capability, and ensure Turner Theological Seminary's continued ability to operate safely as a house of worship, theological education institution, and community anchor in the Atlanta University Center corridor.</w:t>
      </w:r>
    </w:p>
    <w:p>
      <w:pPr>
        <w:spacing w:after="0" w:before="200"/>
      </w:pPr>
    </w:p>
    <w:p>
      <w:pPr>
        <w:pBdr>
          <w:top w:val="single" w:color="1A1A2E" w:sz="6" w:space="6"/>
        </w:pBdr>
        <w:spacing w:after="120" w:before="0"/>
      </w:pPr>
    </w:p>
    <w:p>
      <w:pPr>
        <w:spacing w:after="80" w:before="0"/>
        <w:jc w:val="center"/>
      </w:pPr>
      <w:r>
        <w:rPr>
          <w:rFonts w:ascii="Arial" w:cs="Arial" w:eastAsia="Arial" w:hAnsi="Arial"/>
          <w:b/>
          <w:bCs/>
          <w:color w:val="1A1A2E"/>
          <w:sz w:val="22"/>
          <w:szCs w:val="22"/>
        </w:rPr>
        <w:t xml:space="preserve">APPLICANT CERTIFICATION</w:t>
      </w:r>
    </w:p>
    <w:p>
      <w:pPr>
        <w:spacing w:after="160" w:before="0" w:line="300" w:lineRule="auto"/>
        <w:jc w:val="both"/>
      </w:pPr>
      <w:r>
        <w:rPr>
          <w:rFonts w:ascii="Arial" w:cs="Arial" w:eastAsia="Arial" w:hAnsi="Arial"/>
          <w:color w:val="374151"/>
          <w:sz w:val="20"/>
          <w:szCs w:val="20"/>
        </w:rPr>
        <w:t xml:space="preserve">By submitting this Investment Justification, the authorized representative of Turner Theological Seminary Corporation certifies that the information contained herein is accurate and complete, that the proposed activities are eligible under the FPC grant program guidelines, and that the organization will comply with all applicable federal and state requirements throughout the period of performance.</w:t>
      </w:r>
    </w:p>
    <w:p>
      <w:pPr>
        <w:spacing w:after="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pPr>
              <w:spacing w:after="60" w:before="0"/>
              <w:jc w:val="left"/>
            </w:pPr>
            <w:r>
              <w:rPr>
                <w:rFonts w:ascii="Arial" w:cs="Arial" w:eastAsia="Arial" w:hAnsi="Arial"/>
                <w:b/>
                <w:bCs/>
                <w:color w:val="2E4057"/>
                <w:sz w:val="21"/>
                <w:szCs w:val="21"/>
              </w:rPr>
              <w:t xml:space="preserve">Authorized Representative</w:t>
            </w:r>
          </w:p>
          <w:p>
            <w:pPr>
              <w:spacing w:after="60" w:before="0"/>
              <w:jc w:val="left"/>
            </w:pPr>
            <w:r>
              <w:rPr>
                <w:rFonts w:ascii="Arial" w:cs="Arial" w:eastAsia="Arial" w:hAnsi="Arial"/>
                <w:sz w:val="21"/>
                <w:szCs w:val="21"/>
              </w:rPr>
              <w:t xml:space="preserve">Signature: ___________________________</w:t>
            </w:r>
          </w:p>
          <w:p>
            <w:pPr>
              <w:spacing w:after="20" w:before="0"/>
              <w:jc w:val="left"/>
            </w:pPr>
            <w:r>
              <w:rPr>
                <w:rFonts w:ascii="Arial" w:cs="Arial" w:eastAsia="Arial" w:hAnsi="Arial"/>
                <w:sz w:val="21"/>
                <w:szCs w:val="21"/>
              </w:rPr>
              <w:t xml:space="preserve">Name: Dr. Ammie L. Davis</w:t>
            </w:r>
          </w:p>
          <w:p>
            <w:pPr>
              <w:spacing w:after="20" w:before="0"/>
              <w:jc w:val="left"/>
            </w:pPr>
            <w:r>
              <w:rPr>
                <w:rFonts w:ascii="Arial" w:cs="Arial" w:eastAsia="Arial" w:hAnsi="Arial"/>
                <w:color w:val="374151"/>
                <w:sz w:val="20"/>
                <w:szCs w:val="20"/>
              </w:rPr>
              <w:t xml:space="preserve">Title: President &amp; CEO</w:t>
            </w:r>
          </w:p>
          <w:p>
            <w:pPr>
              <w:spacing w:after="0" w:before="0"/>
              <w:jc w:val="left"/>
            </w:pPr>
            <w:r>
              <w:rPr>
                <w:rFonts w:ascii="Arial" w:cs="Arial" w:eastAsia="Arial" w:hAnsi="Arial"/>
                <w:sz w:val="21"/>
                <w:szCs w:val="21"/>
              </w:rPr>
              <w:t xml:space="preserve">Date: _____________________</w:t>
            </w:r>
          </w:p>
        </w:tc>
        <w:tc>
          <w:tcPr>
            <w:tcW w:type="dxa" w:w="5040"/>
            <w:tcBorders>
              <w:top w:val="none" w:color="FFFFFF" w:sz="0"/>
              <w:left w:val="none" w:color="FFFFFF" w:sz="0"/>
              <w:bottom w:val="none" w:color="FFFFFF" w:sz="0"/>
              <w:right w:val="none" w:color="FFFFFF" w:sz="0"/>
            </w:tcBorders>
          </w:tcPr>
          <w:p>
            <w:pPr>
              <w:spacing w:after="60" w:before="0"/>
              <w:jc w:val="left"/>
            </w:pPr>
            <w:r>
              <w:rPr>
                <w:rFonts w:ascii="Arial" w:cs="Arial" w:eastAsia="Arial" w:hAnsi="Arial"/>
                <w:b/>
                <w:bCs/>
                <w:color w:val="2E4057"/>
                <w:sz w:val="21"/>
                <w:szCs w:val="21"/>
              </w:rPr>
              <w:t xml:space="preserve">Financial Compliance Contact</w:t>
            </w:r>
          </w:p>
          <w:p>
            <w:pPr>
              <w:spacing w:after="20" w:before="0"/>
              <w:jc w:val="left"/>
            </w:pPr>
            <w:r>
              <w:rPr>
                <w:rFonts w:ascii="Arial" w:cs="Arial" w:eastAsia="Arial" w:hAnsi="Arial"/>
                <w:sz w:val="21"/>
                <w:szCs w:val="21"/>
              </w:rPr>
              <w:t xml:space="preserve">Name: Aliman Neal</w:t>
            </w:r>
          </w:p>
          <w:p>
            <w:pPr>
              <w:spacing w:after="20" w:before="0"/>
              <w:jc w:val="left"/>
            </w:pPr>
            <w:r>
              <w:rPr>
                <w:rFonts w:ascii="Arial" w:cs="Arial" w:eastAsia="Arial" w:hAnsi="Arial"/>
                <w:color w:val="374151"/>
                <w:sz w:val="20"/>
                <w:szCs w:val="20"/>
              </w:rPr>
              <w:t xml:space="preserve">Title: Institutional Advancement and Accountant</w:t>
            </w:r>
          </w:p>
          <w:p>
            <w:pPr>
              <w:spacing w:after="20" w:before="0"/>
              <w:jc w:val="left"/>
            </w:pPr>
            <w:r>
              <w:rPr>
                <w:rFonts w:ascii="Arial" w:cs="Arial" w:eastAsia="Arial" w:hAnsi="Arial"/>
                <w:color w:val="374151"/>
                <w:sz w:val="20"/>
                <w:szCs w:val="20"/>
              </w:rPr>
              <w:t xml:space="preserve">Email: aneal@turnerseminary.org</w:t>
            </w:r>
          </w:p>
          <w:p>
            <w:pPr>
              <w:spacing w:after="0" w:before="0"/>
              <w:jc w:val="left"/>
            </w:pPr>
            <w:r>
              <w:rPr>
                <w:rFonts w:ascii="Arial" w:cs="Arial" w:eastAsia="Arial" w:hAnsi="Arial"/>
                <w:color w:val="374151"/>
                <w:sz w:val="20"/>
                <w:szCs w:val="20"/>
              </w:rPr>
              <w:t xml:space="preserve">Phone: (404) 998-2042</w:t>
            </w:r>
          </w:p>
        </w:tc>
      </w:tr>
    </w:tbl>
    <w:p>
      <w:pPr>
        <w:spacing w:after="0" w:before="200"/>
      </w:pPr>
    </w:p>
    <w:p>
      <w:pPr>
        <w:spacing w:after="0" w:before="0"/>
        <w:jc w:val="center"/>
      </w:pPr>
      <w:r>
        <w:rPr>
          <w:rFonts w:ascii="Arial" w:cs="Arial" w:eastAsia="Arial" w:hAnsi="Arial"/>
          <w:color w:val="374151"/>
          <w:sz w:val="20"/>
          <w:szCs w:val="20"/>
        </w:rPr>
        <w:t xml:space="preserve">Submit completed application to: HSGrants@gema.ga.gov  ·  Deadline: May 22, 2026 at 11:59 PM 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2026-05-19T18:52:09.491Z</dcterms:created>
  <dcterms:modified xsi:type="dcterms:W3CDTF">2026-05-19T18:52:09.504Z</dcterms:modified>
</cp:coreProperties>
</file>

<file path=docProps/custom.xml><?xml version="1.0" encoding="utf-8"?>
<Properties xmlns="http://schemas.openxmlformats.org/officeDocument/2006/custom-properties" xmlns:vt="http://schemas.openxmlformats.org/officeDocument/2006/docPropsVTypes"/>
</file>