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rFonts w:ascii="Cambria" w:hAnsi="Cambria"/>
          <w:color w:val="5A2D91"/>
          <w:sz w:val="36"/>
          <w:b/>
        </w:rPr>
        <w:t xml:space="preserve">Option 1 — What Changed</w:t>
      </w:r>
    </w:p>
    <w:p>
      <w:pPr>
        <w:pStyle w:val="Heading2"/>
        <w:spacing w:before="240" w:after="120"/>
      </w:pPr>
      <w:r>
        <w:rPr>
          <w:rFonts w:ascii="Cambria" w:hAnsi="Cambria"/>
          <w:color w:val="5A2D91"/>
          <w:sz w:val="28"/>
          <w:b/>
        </w:rPr>
        <w:t xml:space="preserve">Turner Theological Seminary · Internal Alignment Memo</w:t>
      </w:r>
    </w:p>
    <w:p>
      <w:pPr>
        <w:spacing w:after="120" w:line="300" w:lineRule="auto"/>
      </w:pPr>
      <w:r>
        <w:rPr>
          <w:rFonts w:ascii="Cambria" w:hAnsi="Cambria"/>
          <w:sz w:val="22"/>
          <w:b/>
        </w:rPr>
        <w:t xml:space="preserve">For: </w:t>
      </w:r>
      <w:r>
        <w:rPr>
          <w:rFonts w:ascii="Cambria" w:hAnsi="Cambria"/>
          <w:sz w:val="22"/>
        </w:rPr>
        <w:t xml:space="preserve">President &amp; Grant Writer  |  </w:t>
      </w:r>
      <w:r>
        <w:rPr>
          <w:rFonts w:ascii="Cambria" w:hAnsi="Cambria"/>
          <w:sz w:val="22"/>
          <w:b/>
        </w:rPr>
        <w:t xml:space="preserve">Re: </w:t>
      </w:r>
      <w:r>
        <w:rPr>
          <w:rFonts w:ascii="Cambria" w:hAnsi="Cambria"/>
          <w:sz w:val="22"/>
        </w:rPr>
        <w:t xml:space="preserve">Faithful Cleanup of the Rebuilt Budget Framework</w:t>
      </w:r>
    </w:p>
    <w:p>
      <w:pPr>
        <w:spacing w:after="120" w:line="300" w:lineRule="auto"/>
      </w:pPr>
      <w:r>
        <w:rPr>
          <w:rFonts w:ascii="Cambria" w:hAnsi="Cambria"/>
          <w:sz w:val="22"/>
        </w:rPr>
        <w:t xml:space="preserve">Option 1 honors the rebuilt category structure, Christian-practices framing, named-leadership approach, and ecclesial-partnership ecosystem proposed by the President and grant writer. The only interventions are those needed to make the two budget worksheets agree with each other, bring the grand total to the $2,500,000 request, balance income against expenses each year, hold indirect costs at a defensible 6% throughout, and fill rows that were left empty. A separate Option 2 memo recommends additional structural moves that would strengthen the submission further; Option 1 stands on its own if no further revision is desired.</w:t>
      </w:r>
    </w:p>
    <w:p>
      <w:pPr>
        <w:spacing w:before="240" w:after="60"/>
      </w:pPr>
      <w:r>
        <w:rPr>
          <w:rFonts w:ascii="Arial" w:hAnsi="Arial"/>
          <w:color w:val="8a6d18"/>
          <w:sz w:val="16"/>
          <w:b/>
          <w:caps/>
          <w:spacing w:val="60"/>
        </w:rPr>
        <w:t xml:space="preserve">A. Math Reconciliation</w:t>
      </w:r>
    </w:p>
    <w:p>
      <w:pPr>
        <w:spacing w:before="160" w:after="80"/>
      </w:pPr>
      <w:r>
        <w:rPr>
          <w:rFonts w:ascii="Cambria" w:hAnsi="Cambria"/>
          <w:color w:val="3a1c64"/>
          <w:sz w:val="24"/>
          <w:b/>
        </w:rPr>
        <w:t xml:space="preserve">A1. Grand total reduced from $2,527,040 to $2,500,000</w:t>
      </w:r>
    </w:p>
    <w:p>
      <w:pPr>
        <w:spacing w:after="120" w:line="300" w:lineRule="auto"/>
      </w:pPr>
      <w:r>
        <w:rPr>
          <w:rFonts w:ascii="Cambria" w:hAnsi="Cambria"/>
          <w:sz w:val="22"/>
          <w:b/>
          <w:color w:val="a83232"/>
        </w:rPr>
        <w:t xml:space="preserve">Was: </w:t>
      </w:r>
      <w:r>
        <w:rPr>
          <w:rFonts w:ascii="Cambria" w:hAnsi="Cambria"/>
          <w:sz w:val="22"/>
        </w:rPr>
        <w:t xml:space="preserve">Sub-total expenses $2,384,000 + indirect $143,040 = $2,527,040. Income $2,500,000. Budget over-requested by $27,040.</w:t>
      </w:r>
    </w:p>
    <w:p>
      <w:pPr>
        <w:spacing w:after="120" w:line="300" w:lineRule="auto"/>
      </w:pPr>
      <w:r>
        <w:rPr>
          <w:rFonts w:ascii="Cambria" w:hAnsi="Cambria"/>
          <w:sz w:val="22"/>
          <w:b/>
          <w:color w:val="2f7a4d"/>
        </w:rPr>
        <w:t xml:space="preserve">Now: </w:t>
      </w:r>
      <w:r>
        <w:rPr>
          <w:rFonts w:ascii="Cambria" w:hAnsi="Cambria"/>
          <w:sz w:val="22"/>
        </w:rPr>
        <w:t xml:space="preserve">Direct costs $2,360,000 + indirect $140,000 = $2,500,000. Income $2,500,000. Balanced.</w:t>
      </w:r>
    </w:p>
    <w:p>
      <w:pPr>
        <w:spacing w:after="120" w:line="300" w:lineRule="auto"/>
      </w:pPr>
      <w:r>
        <w:rPr>
          <w:rFonts w:ascii="Cambria" w:hAnsi="Cambria"/>
          <w:sz w:val="22"/>
          <w:b/>
          <w:color w:val="8a6d18"/>
        </w:rPr>
        <w:t xml:space="preserve">Why: </w:t>
      </w:r>
      <w:r>
        <w:rPr>
          <w:rFonts w:ascii="Cambria" w:hAnsi="Cambria"/>
          <w:sz w:val="22"/>
          <w:i/>
        </w:rPr>
        <w:t xml:space="preserve">Lilly's first reviewer screen checks whether requested totals match the grant ceiling. A $27K over-request reads as either a math error or a hidden bid for additional funds — neither helps the application.</w:t>
      </w:r>
    </w:p>
    <w:p/>
    <w:p>
      <w:pPr>
        <w:spacing w:before="160" w:after="80"/>
      </w:pPr>
      <w:r>
        <w:rPr>
          <w:rFonts w:ascii="Cambria" w:hAnsi="Cambria"/>
          <w:color w:val="3a1c64"/>
          <w:sz w:val="24"/>
          <w:b/>
        </w:rPr>
        <w:t xml:space="preserve">A2. The two worksheets now report the same personnel number</w:t>
      </w:r>
    </w:p>
    <w:p>
      <w:pPr>
        <w:spacing w:after="120" w:line="300" w:lineRule="auto"/>
      </w:pPr>
      <w:r>
        <w:rPr>
          <w:rFonts w:ascii="Cambria" w:hAnsi="Cambria"/>
          <w:sz w:val="22"/>
          <w:b/>
          <w:color w:val="a83232"/>
        </w:rPr>
        <w:t xml:space="preserve">Was: </w:t>
      </w:r>
      <w:r>
        <w:rPr>
          <w:rFonts w:ascii="Cambria" w:hAnsi="Cambria"/>
          <w:sz w:val="22"/>
        </w:rPr>
        <w:t xml:space="preserve">Line-Item sheet showed personnel $850,000 with no fringe row. Summary sheet showed personnel $975,000 plus fringe $195,000 = $1,170,000.</w:t>
      </w:r>
    </w:p>
    <w:p>
      <w:pPr>
        <w:spacing w:after="120" w:line="300" w:lineRule="auto"/>
      </w:pPr>
      <w:r>
        <w:rPr>
          <w:rFonts w:ascii="Cambria" w:hAnsi="Cambria"/>
          <w:sz w:val="22"/>
          <w:b/>
          <w:color w:val="2f7a4d"/>
        </w:rPr>
        <w:t xml:space="preserve">Now: </w:t>
      </w:r>
      <w:r>
        <w:rPr>
          <w:rFonts w:ascii="Cambria" w:hAnsi="Cambria"/>
          <w:sz w:val="22"/>
        </w:rPr>
        <w:t xml:space="preserve">Both sheets show personnel $850,000 + fringe $170,000 at Turner's standard 20% rate = $1,020,000 combined.</w:t>
      </w:r>
    </w:p>
    <w:p>
      <w:pPr>
        <w:spacing w:after="120" w:line="300" w:lineRule="auto"/>
      </w:pPr>
      <w:r>
        <w:rPr>
          <w:rFonts w:ascii="Cambria" w:hAnsi="Cambria"/>
          <w:sz w:val="22"/>
          <w:b/>
          <w:color w:val="8a6d18"/>
        </w:rPr>
        <w:t xml:space="preserve">Why: </w:t>
      </w:r>
      <w:r>
        <w:rPr>
          <w:rFonts w:ascii="Cambria" w:hAnsi="Cambria"/>
          <w:sz w:val="22"/>
          <w:i/>
        </w:rPr>
        <w:t xml:space="preserve">Sheet-to-sheet disagreement on the largest line item is a flag Lilly's program officers explicitly look for. Adopting the lower personnel figure also stays closer to the institutional-investment posture the narrative argues for.</w:t>
      </w:r>
    </w:p>
    <w:p/>
    <w:p>
      <w:pPr>
        <w:spacing w:before="160" w:after="80"/>
      </w:pPr>
      <w:r>
        <w:rPr>
          <w:rFonts w:ascii="Cambria" w:hAnsi="Cambria"/>
          <w:color w:val="3a1c64"/>
          <w:sz w:val="24"/>
          <w:b/>
        </w:rPr>
        <w:t xml:space="preserve">A3. Indirect cost rate held at a flat 6% across all five years</w:t>
      </w:r>
    </w:p>
    <w:p>
      <w:pPr>
        <w:spacing w:after="120" w:line="300" w:lineRule="auto"/>
      </w:pPr>
      <w:r>
        <w:rPr>
          <w:rFonts w:ascii="Cambria" w:hAnsi="Cambria"/>
          <w:sz w:val="22"/>
          <w:b/>
          <w:color w:val="a83232"/>
        </w:rPr>
        <w:t xml:space="preserve">Was: </w:t>
      </w:r>
      <w:r>
        <w:rPr>
          <w:rFonts w:ascii="Cambria" w:hAnsi="Cambria"/>
          <w:sz w:val="22"/>
        </w:rPr>
        <w:t xml:space="preserve">Summary sheet indirect line read $15K / $16K / $30K / $32K / $57K. The Year-5 figure works out to 14.9% of direct costs — above Lilly's 10% cap.</w:t>
      </w:r>
    </w:p>
    <w:p>
      <w:pPr>
        <w:spacing w:after="120" w:line="300" w:lineRule="auto"/>
      </w:pPr>
      <w:r>
        <w:rPr>
          <w:rFonts w:ascii="Cambria" w:hAnsi="Cambria"/>
          <w:sz w:val="22"/>
          <w:b/>
          <w:color w:val="2f7a4d"/>
        </w:rPr>
        <w:t xml:space="preserve">Now: </w:t>
      </w:r>
      <w:r>
        <w:rPr>
          <w:rFonts w:ascii="Cambria" w:hAnsi="Cambria"/>
          <w:sz w:val="22"/>
        </w:rPr>
        <w:t xml:space="preserve">Indirect computed as 6% of direct each year: $29K / $29K / $29K / $28K / $25K = $140K total. Every year under cap.</w:t>
      </w:r>
    </w:p>
    <w:p>
      <w:pPr>
        <w:spacing w:after="120" w:line="300" w:lineRule="auto"/>
      </w:pPr>
      <w:r>
        <w:rPr>
          <w:rFonts w:ascii="Cambria" w:hAnsi="Cambria"/>
          <w:sz w:val="22"/>
          <w:b/>
          <w:color w:val="8a6d18"/>
        </w:rPr>
        <w:t xml:space="preserve">Why: </w:t>
      </w:r>
      <w:r>
        <w:rPr>
          <w:rFonts w:ascii="Cambria" w:hAnsi="Cambria"/>
          <w:sz w:val="22"/>
          <w:i/>
        </w:rPr>
        <w:t xml:space="preserve">The 14.9% Year-5 indirect was the same violation flagged in the previous revision cycle. Holding it flat at 6% removes any ambiguity and keeps the budget defensible.</w:t>
      </w:r>
    </w:p>
    <w:p/>
    <w:p>
      <w:pPr>
        <w:spacing w:before="160" w:after="80"/>
      </w:pPr>
      <w:r>
        <w:rPr>
          <w:rFonts w:ascii="Cambria" w:hAnsi="Cambria"/>
          <w:color w:val="3a1c64"/>
          <w:sz w:val="24"/>
          <w:b/>
        </w:rPr>
        <w:t xml:space="preserve">A4. Income staggered to match expenses by year</w:t>
      </w:r>
    </w:p>
    <w:p>
      <w:pPr>
        <w:spacing w:after="120" w:line="300" w:lineRule="auto"/>
      </w:pPr>
      <w:r>
        <w:rPr>
          <w:rFonts w:ascii="Cambria" w:hAnsi="Cambria"/>
          <w:sz w:val="22"/>
          <w:b/>
          <w:color w:val="a83232"/>
        </w:rPr>
        <w:t xml:space="preserve">Was: </w:t>
      </w:r>
      <w:r>
        <w:rPr>
          <w:rFonts w:ascii="Cambria" w:hAnsi="Cambria"/>
          <w:sz w:val="22"/>
        </w:rPr>
        <w:t xml:space="preserve">Income drawn at flat $500,000/year. Expenses ranged from $475K (Y5) to $525K (Y3). Years 2–4 would have run a deficit; Years 1 and 5 a surplus.</w:t>
      </w:r>
    </w:p>
    <w:p>
      <w:pPr>
        <w:spacing w:after="120" w:line="300" w:lineRule="auto"/>
      </w:pPr>
      <w:r>
        <w:rPr>
          <w:rFonts w:ascii="Cambria" w:hAnsi="Cambria"/>
          <w:sz w:val="22"/>
          <w:b/>
          <w:color w:val="2f7a4d"/>
        </w:rPr>
        <w:t xml:space="preserve">Now: </w:t>
      </w:r>
      <w:r>
        <w:rPr>
          <w:rFonts w:ascii="Cambria" w:hAnsi="Cambria"/>
          <w:sz w:val="22"/>
        </w:rPr>
        <w:t xml:space="preserve">Income matched to annual expenses: $504K / $521K / $514K / $493K / $468K. Balanced each year and over the five-year term.</w:t>
      </w:r>
    </w:p>
    <w:p>
      <w:pPr>
        <w:spacing w:after="120" w:line="300" w:lineRule="auto"/>
      </w:pPr>
      <w:r>
        <w:rPr>
          <w:rFonts w:ascii="Cambria" w:hAnsi="Cambria"/>
          <w:sz w:val="22"/>
          <w:b/>
          <w:color w:val="8a6d18"/>
        </w:rPr>
        <w:t xml:space="preserve">Why: </w:t>
      </w:r>
      <w:r>
        <w:rPr>
          <w:rFonts w:ascii="Cambria" w:hAnsi="Cambria"/>
          <w:sz w:val="22"/>
          <w:i/>
        </w:rPr>
        <w:t xml:space="preserve">Lilly's Budget Preparation Guide asks specifically for balanced annual budgets. Flat-line draws against uneven expenses look like a deferred reconciliation problem on the audit side.</w:t>
      </w:r>
    </w:p>
    <w:p/>
    <w:p>
      <w:pPr>
        <w:spacing w:before="160" w:after="80"/>
      </w:pPr>
      <w:r>
        <w:rPr>
          <w:rFonts w:ascii="Cambria" w:hAnsi="Cambria"/>
          <w:color w:val="3a1c64"/>
          <w:sz w:val="24"/>
          <w:b/>
        </w:rPr>
        <w:t xml:space="preserve">A5. Communications &amp; Technology rows populated</w:t>
      </w:r>
    </w:p>
    <w:p>
      <w:pPr>
        <w:spacing w:after="120" w:line="300" w:lineRule="auto"/>
      </w:pPr>
      <w:r>
        <w:rPr>
          <w:rFonts w:ascii="Cambria" w:hAnsi="Cambria"/>
          <w:sz w:val="22"/>
          <w:b/>
          <w:color w:val="a83232"/>
        </w:rPr>
        <w:t xml:space="preserve">Was: </w:t>
      </w:r>
      <w:r>
        <w:rPr>
          <w:rFonts w:ascii="Cambria" w:hAnsi="Cambria"/>
          <w:sz w:val="22"/>
        </w:rPr>
        <w:t xml:space="preserve">Line-Item sheet showed Communications &amp; Dissemination and Technology &amp; Hybrid Infrastructure as header rows with no year-by-year amounts.</w:t>
      </w:r>
    </w:p>
    <w:p>
      <w:pPr>
        <w:spacing w:after="120" w:line="300" w:lineRule="auto"/>
      </w:pPr>
      <w:r>
        <w:rPr>
          <w:rFonts w:ascii="Cambria" w:hAnsi="Cambria"/>
          <w:sz w:val="22"/>
          <w:b/>
          <w:color w:val="2f7a4d"/>
        </w:rPr>
        <w:t xml:space="preserve">Now: </w:t>
      </w:r>
      <w:r>
        <w:rPr>
          <w:rFonts w:ascii="Cambria" w:hAnsi="Cambria"/>
          <w:sz w:val="22"/>
        </w:rPr>
        <w:t xml:space="preserve">Communications: $16K / $18K / $18K / $18K / $20K = $90K. Technology: $20K / $18K / $18K / $15K / $14K = $85K.</w:t>
      </w:r>
    </w:p>
    <w:p>
      <w:pPr>
        <w:spacing w:after="120" w:line="300" w:lineRule="auto"/>
      </w:pPr>
      <w:r>
        <w:rPr>
          <w:rFonts w:ascii="Cambria" w:hAnsi="Cambria"/>
          <w:sz w:val="22"/>
          <w:b/>
          <w:color w:val="8a6d18"/>
        </w:rPr>
        <w:t xml:space="preserve">Why: </w:t>
      </w:r>
      <w:r>
        <w:rPr>
          <w:rFonts w:ascii="Cambria" w:hAnsi="Cambria"/>
          <w:sz w:val="22"/>
          <w:i/>
        </w:rPr>
        <w:t xml:space="preserve">Empty cells under a populated category header is the most common cause of "incomplete budget" rejection. Amounts are conservative and consistent with the narrative's dissemination and hybrid-infrastructure language.</w:t>
      </w:r>
    </w:p>
    <w:p/>
    <w:p>
      <w:pPr>
        <w:spacing w:before="160" w:after="80"/>
      </w:pPr>
      <w:r>
        <w:rPr>
          <w:rFonts w:ascii="Cambria" w:hAnsi="Cambria"/>
          <w:color w:val="3a1c64"/>
          <w:sz w:val="24"/>
          <w:b/>
        </w:rPr>
        <w:t xml:space="preserve">A6. Orphaned legacy detail rows removed from the Line-Item sheet</w:t>
      </w:r>
    </w:p>
    <w:p>
      <w:pPr>
        <w:spacing w:after="120" w:line="300" w:lineRule="auto"/>
      </w:pPr>
      <w:r>
        <w:rPr>
          <w:rFonts w:ascii="Cambria" w:hAnsi="Cambria"/>
          <w:sz w:val="22"/>
          <w:b/>
          <w:color w:val="a83232"/>
        </w:rPr>
        <w:t xml:space="preserve">Was: </w:t>
      </w:r>
      <w:r>
        <w:rPr>
          <w:rFonts w:ascii="Cambria" w:hAnsi="Cambria"/>
          <w:sz w:val="22"/>
        </w:rPr>
        <w:t xml:space="preserve">Sub-totals labelled TOTAL PROGRAM ACTIVITIES, TOTAL TRAVEL, TOTAL CONSULTANTS, TOTAL EQUIPMENT, TOTAL COMMUNICATIONS, and TOTAL SUSTAINABILITY appeared at the bottom of the sheet with detail line-items beneath them — all sub-total cells blank, categories not matching the new top-level structure.</w:t>
      </w:r>
    </w:p>
    <w:p>
      <w:pPr>
        <w:spacing w:after="120" w:line="300" w:lineRule="auto"/>
      </w:pPr>
      <w:r>
        <w:rPr>
          <w:rFonts w:ascii="Cambria" w:hAnsi="Cambria"/>
          <w:sz w:val="22"/>
          <w:b/>
          <w:color w:val="2f7a4d"/>
        </w:rPr>
        <w:t xml:space="preserve">Now: </w:t>
      </w:r>
      <w:r>
        <w:rPr>
          <w:rFonts w:ascii="Cambria" w:hAnsi="Cambria"/>
          <w:sz w:val="22"/>
        </w:rPr>
        <w:t xml:space="preserve">Removed. Line-Item sheet now mirrors the new top-level category structure 1:1, with per-line calculation detail moved into the Budget Narrative.</w:t>
      </w:r>
    </w:p>
    <w:p>
      <w:pPr>
        <w:spacing w:after="120" w:line="300" w:lineRule="auto"/>
      </w:pPr>
      <w:r>
        <w:rPr>
          <w:rFonts w:ascii="Cambria" w:hAnsi="Cambria"/>
          <w:sz w:val="22"/>
          <w:b/>
          <w:color w:val="8a6d18"/>
        </w:rPr>
        <w:t xml:space="preserve">Why: </w:t>
      </w:r>
      <w:r>
        <w:rPr>
          <w:rFonts w:ascii="Cambria" w:hAnsi="Cambria"/>
          <w:sz w:val="22"/>
          <w:i/>
        </w:rPr>
        <w:t xml:space="preserve">The legacy section was structurally inconsistent with the rebuild (e.g., "Travel" no longer appears as a top-level category but did as a legacy sub-total). Leaving it in the workbook signals incomplete editing.</w:t>
      </w:r>
    </w:p>
    <w:p/>
    <w:p>
      <w:pPr>
        <w:spacing w:before="240" w:after="60"/>
      </w:pPr>
      <w:r>
        <w:rPr>
          <w:rFonts w:ascii="Arial" w:hAnsi="Arial"/>
          <w:color w:val="8a6d18"/>
          <w:sz w:val="16"/>
          <w:b/>
          <w:caps/>
          <w:spacing w:val="60"/>
        </w:rPr>
        <w:t xml:space="preserve">B. Narrative Alignment</w:t>
      </w:r>
    </w:p>
    <w:p>
      <w:pPr>
        <w:spacing w:before="160" w:after="80"/>
      </w:pPr>
      <w:r>
        <w:rPr>
          <w:rFonts w:ascii="Cambria" w:hAnsi="Cambria"/>
          <w:color w:val="3a1c64"/>
          <w:sz w:val="24"/>
          <w:b/>
        </w:rPr>
        <w:t xml:space="preserve">B1. Institutional leadership reduced from 9 names to 6 (Team 1 only)</w:t>
      </w:r>
    </w:p>
    <w:p>
      <w:pPr>
        <w:spacing w:after="120" w:line="300" w:lineRule="auto"/>
      </w:pPr>
      <w:r>
        <w:rPr>
          <w:rFonts w:ascii="Cambria" w:hAnsi="Cambria"/>
          <w:sz w:val="22"/>
          <w:b/>
          <w:color w:val="a83232"/>
        </w:rPr>
        <w:t xml:space="preserve">Was: </w:t>
      </w:r>
      <w:r>
        <w:rPr>
          <w:rFonts w:ascii="Cambria" w:hAnsi="Cambria"/>
          <w:sz w:val="22"/>
        </w:rPr>
        <w:t xml:space="preserve">Budget Narrative listed nine partial FTE allocations spanning the working team and editorial reviewers (Karen Jordan), each with a stated % of effort.</w:t>
      </w:r>
    </w:p>
    <w:p>
      <w:pPr>
        <w:spacing w:after="120" w:line="300" w:lineRule="auto"/>
      </w:pPr>
      <w:r>
        <w:rPr>
          <w:rFonts w:ascii="Cambria" w:hAnsi="Cambria"/>
          <w:sz w:val="22"/>
          <w:b/>
          <w:color w:val="2f7a4d"/>
        </w:rPr>
        <w:t xml:space="preserve">Now: </w:t>
      </w:r>
      <w:r>
        <w:rPr>
          <w:rFonts w:ascii="Cambria" w:hAnsi="Cambria"/>
          <w:sz w:val="22"/>
        </w:rPr>
        <w:t xml:space="preserve">Per the Lilly Endowment Team memo, only Team 1 — Drs. Davis, Buford, Fashola, Snipes, Austin, and Neal — appears as allocated effort. Team 2 (Drs. Plenty, Chillis, Ephraim, Campbell, and Karen Jordan) is named in the narrative under "Editorial Review &amp; Strategic Oversight" as in-kind institutional governance, not as budgeted FTE.</w:t>
      </w:r>
    </w:p>
    <w:p>
      <w:pPr>
        <w:spacing w:after="120" w:line="300" w:lineRule="auto"/>
      </w:pPr>
      <w:r>
        <w:rPr>
          <w:rFonts w:ascii="Cambria" w:hAnsi="Cambria"/>
          <w:sz w:val="22"/>
          <w:b/>
          <w:color w:val="8a6d18"/>
        </w:rPr>
        <w:t xml:space="preserve">Why: </w:t>
      </w:r>
      <w:r>
        <w:rPr>
          <w:rFonts w:ascii="Cambria" w:hAnsi="Cambria"/>
          <w:sz w:val="22"/>
          <w:i/>
        </w:rPr>
        <w:t xml:space="preserve">The Team memo explicitly distinguishes proposal-development working roles (Team 1) from editorial reviewers (Team 2). Carrying editorial reviewers as budgeted FTE creates personnel-table entries that won't reconcile against actual time-and-effort reports.</w:t>
      </w:r>
    </w:p>
    <w:p/>
    <w:p>
      <w:pPr>
        <w:spacing w:before="160" w:after="80"/>
      </w:pPr>
      <w:r>
        <w:rPr>
          <w:rFonts w:ascii="Cambria" w:hAnsi="Cambria"/>
          <w:color w:val="3a1c64"/>
          <w:sz w:val="24"/>
          <w:b/>
        </w:rPr>
        <w:t xml:space="preserve">B2. Fringe benefits added as an explicit line</w:t>
      </w:r>
    </w:p>
    <w:p>
      <w:pPr>
        <w:spacing w:after="120" w:line="300" w:lineRule="auto"/>
      </w:pPr>
      <w:r>
        <w:rPr>
          <w:rFonts w:ascii="Cambria" w:hAnsi="Cambria"/>
          <w:sz w:val="22"/>
          <w:b/>
          <w:color w:val="a83232"/>
        </w:rPr>
        <w:t xml:space="preserve">Was: </w:t>
      </w:r>
      <w:r>
        <w:rPr>
          <w:rFonts w:ascii="Cambria" w:hAnsi="Cambria"/>
          <w:sz w:val="22"/>
        </w:rPr>
        <w:t xml:space="preserve">Budget Narrative referenced fringe only indirectly. Line-Item sheet had no fringe row.</w:t>
      </w:r>
    </w:p>
    <w:p>
      <w:pPr>
        <w:spacing w:after="120" w:line="300" w:lineRule="auto"/>
      </w:pPr>
      <w:r>
        <w:rPr>
          <w:rFonts w:ascii="Cambria" w:hAnsi="Cambria"/>
          <w:sz w:val="22"/>
          <w:b/>
          <w:color w:val="2f7a4d"/>
        </w:rPr>
        <w:t xml:space="preserve">Now: </w:t>
      </w:r>
      <w:r>
        <w:rPr>
          <w:rFonts w:ascii="Cambria" w:hAnsi="Cambria"/>
          <w:sz w:val="22"/>
        </w:rPr>
        <w:t xml:space="preserve">Explicit Fringe Benefits (20%) line on both sheets, calculated as 20% of grant-funded salary each year. $36K / $37K / $35K / $32K / $30K = $170K total.</w:t>
      </w:r>
    </w:p>
    <w:p>
      <w:pPr>
        <w:spacing w:after="120" w:line="300" w:lineRule="auto"/>
      </w:pPr>
      <w:r>
        <w:rPr>
          <w:rFonts w:ascii="Cambria" w:hAnsi="Cambria"/>
          <w:sz w:val="22"/>
          <w:b/>
          <w:color w:val="8a6d18"/>
        </w:rPr>
        <w:t xml:space="preserve">Why: </w:t>
      </w:r>
      <w:r>
        <w:rPr>
          <w:rFonts w:ascii="Cambria" w:hAnsi="Cambria"/>
          <w:sz w:val="22"/>
          <w:i/>
        </w:rPr>
        <w:t xml:space="preserve">Lilly's Guide requires fringe to be either a clearly labelled separate line at a stated rate, or rolled into personnel with a footnote stating the rate. Both worksheets were silent on this; explicit treatment is cleaner.</w:t>
      </w:r>
    </w:p>
    <w:p/>
    <w:p>
      <w:pPr>
        <w:spacing w:before="160" w:after="80"/>
      </w:pPr>
      <w:r>
        <w:rPr>
          <w:rFonts w:ascii="Cambria" w:hAnsi="Cambria"/>
          <w:color w:val="3a1c64"/>
          <w:sz w:val="24"/>
          <w:b/>
        </w:rPr>
        <w:t xml:space="preserve">B3. Personnel decline labelled and explained</w:t>
      </w:r>
    </w:p>
    <w:p>
      <w:pPr>
        <w:spacing w:after="120" w:line="300" w:lineRule="auto"/>
      </w:pPr>
      <w:r>
        <w:rPr>
          <w:rFonts w:ascii="Cambria" w:hAnsi="Cambria"/>
          <w:sz w:val="22"/>
          <w:b/>
          <w:color w:val="a83232"/>
        </w:rPr>
        <w:t xml:space="preserve">Was: </w:t>
      </w:r>
      <w:r>
        <w:rPr>
          <w:rFonts w:ascii="Cambria" w:hAnsi="Cambria"/>
          <w:sz w:val="22"/>
        </w:rPr>
        <w:t xml:space="preserve">Personnel declined from $180K (Y1) to $150K (Y5) with no stated rationale. The previous revision cycle flagged this as a contradiction.</w:t>
      </w:r>
    </w:p>
    <w:p>
      <w:pPr>
        <w:spacing w:after="120" w:line="300" w:lineRule="auto"/>
      </w:pPr>
      <w:r>
        <w:rPr>
          <w:rFonts w:ascii="Cambria" w:hAnsi="Cambria"/>
          <w:sz w:val="22"/>
          <w:b/>
          <w:color w:val="2f7a4d"/>
        </w:rPr>
        <w:t xml:space="preserve">Now: </w:t>
      </w:r>
      <w:r>
        <w:rPr>
          <w:rFonts w:ascii="Cambria" w:hAnsi="Cambria"/>
          <w:sz w:val="22"/>
        </w:rPr>
        <w:t xml:space="preserve">Narrative now states explicitly: "Grant-funded personnel costs decline year-over-year as institutional cost-share absorbs incremental responsibility, reflecting Turner's commitment to sustainability and a fade-out plan for grant dependency."</w:t>
      </w:r>
    </w:p>
    <w:p>
      <w:pPr>
        <w:spacing w:after="120" w:line="300" w:lineRule="auto"/>
      </w:pPr>
      <w:r>
        <w:rPr>
          <w:rFonts w:ascii="Cambria" w:hAnsi="Cambria"/>
          <w:sz w:val="22"/>
          <w:b/>
          <w:color w:val="8a6d18"/>
        </w:rPr>
        <w:t xml:space="preserve">Why: </w:t>
      </w:r>
      <w:r>
        <w:rPr>
          <w:rFonts w:ascii="Cambria" w:hAnsi="Cambria"/>
          <w:sz w:val="22"/>
          <w:i/>
        </w:rPr>
        <w:t xml:space="preserve">A declining personnel curve is acceptable to Lilly when framed as institutional pickup; unacceptable when unexplained.</w:t>
      </w:r>
    </w:p>
    <w:p/>
    <w:p>
      <w:pPr>
        <w:spacing w:before="160" w:after="80"/>
      </w:pPr>
      <w:r>
        <w:rPr>
          <w:rFonts w:ascii="Cambria" w:hAnsi="Cambria"/>
          <w:color w:val="3a1c64"/>
          <w:sz w:val="24"/>
          <w:b/>
        </w:rPr>
        <w:t xml:space="preserve">B4. Partner sub-grant structure clarified</w:t>
      </w:r>
    </w:p>
    <w:p>
      <w:pPr>
        <w:spacing w:after="120" w:line="300" w:lineRule="auto"/>
      </w:pPr>
      <w:r>
        <w:rPr>
          <w:rFonts w:ascii="Cambria" w:hAnsi="Cambria"/>
          <w:sz w:val="22"/>
          <w:b/>
          <w:color w:val="a83232"/>
        </w:rPr>
        <w:t xml:space="preserve">Was: </w:t>
      </w:r>
      <w:r>
        <w:rPr>
          <w:rFonts w:ascii="Cambria" w:hAnsi="Cambria"/>
          <w:sz w:val="22"/>
        </w:rPr>
        <w:t xml:space="preserve">"Ecclesial &amp; Community Partnerships" at $165K total combined the 6th Episcopal District AME and Salvation and Social Justice with no per-partner split, no scope, and no MOU references.</w:t>
      </w:r>
    </w:p>
    <w:p>
      <w:pPr>
        <w:spacing w:after="120" w:line="300" w:lineRule="auto"/>
      </w:pPr>
      <w:r>
        <w:rPr>
          <w:rFonts w:ascii="Cambria" w:hAnsi="Cambria"/>
          <w:sz w:val="22"/>
          <w:b/>
          <w:color w:val="2f7a4d"/>
        </w:rPr>
        <w:t xml:space="preserve">Now: </w:t>
      </w:r>
      <w:r>
        <w:rPr>
          <w:rFonts w:ascii="Cambria" w:hAnsi="Cambria"/>
          <w:sz w:val="22"/>
        </w:rPr>
        <w:t xml:space="preserve">Envelope is now $150K total split approximately 55/45 between the two partners ($82.5K / $67.5K), confirmed by Partner Engagement Agreements rather than full MOUs. Each partner allocation is further split into a Partner Stipend (paid to the org) and Consultant Fees (paid to named facilitators).</w:t>
      </w:r>
    </w:p>
    <w:p>
      <w:pPr>
        <w:spacing w:after="120" w:line="300" w:lineRule="auto"/>
      </w:pPr>
      <w:r>
        <w:rPr>
          <w:rFonts w:ascii="Cambria" w:hAnsi="Cambria"/>
          <w:sz w:val="22"/>
          <w:b/>
          <w:color w:val="8a6d18"/>
        </w:rPr>
        <w:t xml:space="preserve">Why: </w:t>
      </w:r>
      <w:r>
        <w:rPr>
          <w:rFonts w:ascii="Cambria" w:hAnsi="Cambria"/>
          <w:sz w:val="22"/>
          <w:i/>
        </w:rPr>
        <w:t xml:space="preserve">Partner Engagement Agreements are Lilly's accepted lightweight alternative to formal MOUs for partners under $250K total. The two-line split avoids the appearance of double-payment when partner staff also serve as project consultants.</w:t>
      </w:r>
    </w:p>
    <w:p/>
    <w:p>
      <w:pPr>
        <w:spacing w:before="160" w:after="80"/>
      </w:pPr>
      <w:r>
        <w:rPr>
          <w:rFonts w:ascii="Cambria" w:hAnsi="Cambria"/>
          <w:color w:val="3a1c64"/>
          <w:sz w:val="24"/>
          <w:b/>
        </w:rPr>
        <w:t xml:space="preserve">B5. Sankofa CPE partnership preserved as a distinct line</w:t>
      </w:r>
    </w:p>
    <w:p>
      <w:pPr>
        <w:spacing w:after="120" w:line="300" w:lineRule="auto"/>
      </w:pPr>
      <w:r>
        <w:rPr>
          <w:rFonts w:ascii="Cambria" w:hAnsi="Cambria"/>
          <w:sz w:val="22"/>
          <w:b/>
          <w:color w:val="a83232"/>
        </w:rPr>
        <w:t xml:space="preserve">Was: </w:t>
      </w:r>
      <w:r>
        <w:rPr>
          <w:rFonts w:ascii="Cambria" w:hAnsi="Cambria"/>
          <w:sz w:val="22"/>
        </w:rPr>
        <w:t xml:space="preserve">Sankofa CPE Clinical Formation at $190K total.</w:t>
      </w:r>
    </w:p>
    <w:p>
      <w:pPr>
        <w:spacing w:after="120" w:line="300" w:lineRule="auto"/>
      </w:pPr>
      <w:r>
        <w:rPr>
          <w:rFonts w:ascii="Cambria" w:hAnsi="Cambria"/>
          <w:sz w:val="22"/>
          <w:b/>
          <w:color w:val="2f7a4d"/>
        </w:rPr>
        <w:t xml:space="preserve">Now: </w:t>
      </w:r>
      <w:r>
        <w:rPr>
          <w:rFonts w:ascii="Cambria" w:hAnsi="Cambria"/>
          <w:sz w:val="22"/>
        </w:rPr>
        <w:t xml:space="preserve">Retained as its own category at $175K total (slight trim to fit envelope), with narrative noting Sankofa CPE LLC is in formal partnership with Turner and ACPE supervision is the central deliverable.</w:t>
      </w:r>
    </w:p>
    <w:p>
      <w:pPr>
        <w:spacing w:after="120" w:line="300" w:lineRule="auto"/>
      </w:pPr>
      <w:r>
        <w:rPr>
          <w:rFonts w:ascii="Cambria" w:hAnsi="Cambria"/>
          <w:sz w:val="22"/>
          <w:b/>
          <w:color w:val="8a6d18"/>
        </w:rPr>
        <w:t xml:space="preserve">Why: </w:t>
      </w:r>
      <w:r>
        <w:rPr>
          <w:rFonts w:ascii="Cambria" w:hAnsi="Cambria"/>
          <w:sz w:val="22"/>
          <w:i/>
        </w:rPr>
        <w:t xml:space="preserve">Sankofa represents a distinct programmatic stream (clinical pastoral education) not present in the other partner categories. Line-separation honors the partnership's distinct identity.</w:t>
      </w:r>
    </w:p>
    <w:p/>
    <w:p>
      <w:pPr>
        <w:spacing w:before="240" w:after="60"/>
      </w:pPr>
      <w:r>
        <w:rPr>
          <w:rFonts w:ascii="Arial" w:hAnsi="Arial"/>
          <w:color w:val="8a6d18"/>
          <w:sz w:val="16"/>
          <w:b/>
          <w:caps/>
          <w:spacing w:val="60"/>
        </w:rPr>
        <w:t xml:space="preserve">C. Categories preserved exactly as proposed</w:t>
      </w:r>
    </w:p>
    <w:p>
      <w:pPr>
        <w:spacing w:after="120" w:line="300" w:lineRule="auto"/>
      </w:pPr>
      <w:r>
        <w:rPr>
          <w:rFonts w:ascii="Cambria" w:hAnsi="Cambria"/>
          <w:sz w:val="22"/>
        </w:rPr>
        <w:t xml:space="preserve">C1. The full rebuilt category structure (Personnel, Fringe, Christian Practices &amp; Formation, Ecclesial &amp; Community Partnerships, Sankofa CPE Clinical Formation, Communications &amp; Dissemination, Evaluation &amp; Learning, Sustainability &amp; Replication, Technology &amp; Hybrid Infrastructure, Fellows &amp; Emerging Leaders, Indirect Costs) was kept exactly as proposed. No category was added, removed, or renamed.</w:t>
      </w:r>
    </w:p>
    <w:p>
      <w:pPr>
        <w:spacing w:after="120" w:line="300" w:lineRule="auto"/>
      </w:pPr>
      <w:r>
        <w:rPr>
          <w:rFonts w:ascii="Cambria" w:hAnsi="Cambria"/>
          <w:sz w:val="22"/>
        </w:rPr>
        <w:t xml:space="preserve">C2. Every reference to Christian practices, ecclesial partnership, participant formation, replication readiness, and sustainability in the narrative was retained unchanged. Only sentences directly tied to revised math were edited.</w:t>
      </w:r>
    </w:p>
    <w:p>
      <w:pPr>
        <w:spacing w:after="120" w:line="300" w:lineRule="auto"/>
      </w:pPr>
      <w:r>
        <w:rPr>
          <w:rFonts w:ascii="Cambria" w:hAnsi="Cambria"/>
          <w:sz w:val="22"/>
        </w:rPr>
        <w:t xml:space="preserve">C3. The five core grant-funded operational positions (Director of Christian Practices &amp; Formation, Program Manager / Operations Coordinator, Communications &amp; Dissemination Specialist, Assessment &amp; Evaluation Coordinator, Participant Engagement &amp; Formation Coordinator) are unchanged.</w:t>
      </w:r>
    </w:p>
    <w:p>
      <w:pPr>
        <w:spacing w:before="240" w:after="60"/>
      </w:pPr>
      <w:r>
        <w:rPr>
          <w:rFonts w:ascii="Arial" w:hAnsi="Arial"/>
          <w:color w:val="8a6d18"/>
          <w:sz w:val="16"/>
          <w:b/>
          <w:caps/>
          <w:spacing w:val="60"/>
        </w:rPr>
        <w:t xml:space="preserve">Net Effect</w:t>
      </w:r>
    </w:p>
    <w:p>
      <w:pPr>
        <w:spacing w:after="120" w:line="300" w:lineRule="auto"/>
      </w:pPr>
      <w:r>
        <w:rPr>
          <w:rFonts w:ascii="Cambria" w:hAnsi="Cambria"/>
          <w:sz w:val="22"/>
          <w:b/>
        </w:rPr>
        <w:t xml:space="preserve">Net effect on request: </w:t>
      </w:r>
      <w:r>
        <w:rPr>
          <w:rFonts w:ascii="Cambria" w:hAnsi="Cambria"/>
          <w:sz w:val="22"/>
        </w:rPr>
        <w:t xml:space="preserve">$2,500,000 (unchanged from the stated request). </w:t>
      </w:r>
      <w:r>
        <w:rPr>
          <w:rFonts w:ascii="Cambria" w:hAnsi="Cambria"/>
          <w:sz w:val="22"/>
          <w:b/>
        </w:rPr>
        <w:t xml:space="preserve">Math fixes applied: </w:t>
      </w:r>
      <w:r>
        <w:rPr>
          <w:rFonts w:ascii="Cambria" w:hAnsi="Cambria"/>
          <w:sz w:val="22"/>
        </w:rPr>
        <w:t xml:space="preserve">6 reconciliations and 5 narrative alignments, all within the original category structure. </w:t>
      </w:r>
      <w:r>
        <w:rPr>
          <w:rFonts w:ascii="Cambria" w:hAnsi="Cambria"/>
          <w:sz w:val="22"/>
          <w:b/>
        </w:rPr>
        <w:t xml:space="preserve">Structural moves deferred to Option 2: </w:t>
      </w:r>
      <w:r>
        <w:rPr>
          <w:rFonts w:ascii="Cambria" w:hAnsi="Cambria"/>
          <w:sz w:val="22"/>
        </w:rPr>
        <w:t xml:space="preserve">in-kind institutional leadership treatment, fellows program scale-up, indirect rate review, and broken-out partner sub-grant detail.</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Arial" w:hAnsi="Arial"/>
        <w:color w:val="C9A22B"/>
      </w:rPr>
    </w:lvl>
  </w:abstractNum>
  <w:num w:numId="1">
    <w:abstractNumId w:val="0"/>
  </w:num>
</w:numbering>
</file>

<file path=word/styles.xml><?xml version="1.0" encoding="utf-8"?>
<w:styles xmlns:w="http://schemas.openxmlformats.org/wordprocessingml/2006/main">
  <w:docDefaults>
    <w:rPrDefault>
      <w:rPr>
        <w:rFonts w:ascii="Cambria" w:hAnsi="Cambria"/>
        <w:sz w:val="22"/>
        <w:color w:val="1c1422"/>
      </w:rPr>
    </w:rPrDefault>
  </w:docDefaults>
  <w:style w:type="paragraph" w:styleId="Heading1">
    <w:name w:val="heading 1"/>
  </w:style>
  <w:style w:type="paragraph" w:styleId="Heading2">
    <w:name w:val="heading 2"/>
  </w:style>
</w:style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s>
</file>