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i w:val="false"/>
          <w:iCs w:val="false"/>
          <w:color w:val="1F2E5C"/>
          <w:sz w:val="32"/>
          <w:szCs w:val="32"/>
          <w:rFonts w:ascii="Calibri" w:cs="Calibri" w:eastAsia="Calibri" w:hAnsi="Calibri"/>
        </w:rPr>
        <w:t xml:space="preserve">TURNER THEOLOGICAL SEMINARY</w:t>
      </w:r>
    </w:p>
    <w:p>
      <w:pPr>
        <w:spacing w:after="240"/>
        <w:jc w:val="center"/>
      </w:pPr>
      <w:r>
        <w:rPr>
          <w:b w:val="false"/>
          <w:bCs w:val="false"/>
          <w:i w:val="false"/>
          <w:iCs w:val="false"/>
          <w:color w:val="4A5C8A"/>
          <w:sz w:val="24"/>
          <w:szCs w:val="24"/>
          <w:rFonts w:ascii="Calibri" w:cs="Calibri" w:eastAsia="Calibri" w:hAnsi="Calibri"/>
        </w:rPr>
        <w:t xml:space="preserve">Lilly Endowment — Exploring Christian Practices Initiative</w:t>
      </w:r>
    </w:p>
    <w:p>
      <w:pPr>
        <w:spacing w:after="80"/>
        <w:jc w:val="center"/>
      </w:pPr>
      <w:r>
        <w:rPr>
          <w:b/>
          <w:bCs/>
          <w:i w:val="false"/>
          <w:iCs w:val="false"/>
          <w:color w:val="1F2E5C"/>
          <w:sz w:val="28"/>
          <w:szCs w:val="28"/>
          <w:rFonts w:ascii="Calibri" w:cs="Calibri" w:eastAsia="Calibri" w:hAnsi="Calibri"/>
        </w:rPr>
        <w:t xml:space="preserve">PROPOSAL NARRATIVE — EXPANSION OUTLINE</w:t>
      </w:r>
    </w:p>
    <w:p>
      <w:pPr>
        <w:spacing w:after="320"/>
        <w:jc w:val="center"/>
      </w:pPr>
      <w:r>
        <w:rPr>
          <w:b w:val="false"/>
          <w:bCs w:val="false"/>
          <w:i/>
          <w:iCs/>
          <w:sz w:val="22"/>
          <w:szCs w:val="22"/>
          <w:rFonts w:ascii="Calibri" w:cs="Calibri" w:eastAsia="Calibri" w:hAnsi="Calibri"/>
        </w:rPr>
        <w:t xml:space="preserve">Mapping every Lilly rubric question to the Turner Model narrative</w:t>
      </w:r>
    </w:p>
    <w:p>
      <w:pPr>
        <w:spacing w:after="120" w:before="0"/>
      </w:pPr>
      <w:r>
        <w:rPr>
          <w:b w:val="false"/>
          <w:bCs w:val="false"/>
          <w:i w:val="false"/>
          <w:iCs w:val="false"/>
          <w:sz w:val="22"/>
          <w:szCs w:val="22"/>
          <w:rFonts w:ascii="Calibri" w:cs="Calibri" w:eastAsia="Calibri" w:hAnsi="Calibri"/>
        </w:rPr>
        <w:t xml:space="preserve">This outline maps each required topic and sub-question from the Lilly RFP (pages 6–9) to a recommended section of the Proposal Narrative. The current Turner Model draft is shorter than the 12-page allowance and is missing several required sections; this outline shows where existing content fits, what to expand, and what to add. Italicized prompts indicate content to draft. The proposal narrative does not include the Executive Summary, Program Timetable, or budget materials — those are submitted as separate documents.</w:t>
      </w:r>
    </w:p>
    <w:p>
      <w:pPr>
        <w:pStyle w:val="Heading1"/>
        <w:pBdr>
          <w:bottom w:val="single" w:color="C9B27A" w:sz="6"/>
        </w:pBdr>
        <w:spacing w:before="320" w:after="160"/>
      </w:pPr>
      <w:r>
        <w:rPr>
          <w:b/>
          <w:bCs/>
          <w:i w:val="false"/>
          <w:iCs w:val="false"/>
          <w:color w:val="1F2E5C"/>
          <w:sz w:val="32"/>
          <w:szCs w:val="32"/>
          <w:rFonts w:ascii="Calibri" w:cs="Calibri" w:eastAsia="Calibri" w:hAnsi="Calibri"/>
        </w:rPr>
        <w:t xml:space="preserve">1. Organizational Information   (~1.5 pages)</w:t>
      </w:r>
    </w:p>
    <w:p>
      <w:pPr>
        <w:spacing w:after="120" w:before="0"/>
      </w:pPr>
      <w:r>
        <w:rPr>
          <w:b w:val="false"/>
          <w:bCs w:val="false"/>
          <w:i w:val="false"/>
          <w:iCs w:val="false"/>
          <w:sz w:val="22"/>
          <w:szCs w:val="22"/>
          <w:rFonts w:ascii="Calibri" w:cs="Calibri" w:eastAsia="Calibri" w:hAnsi="Calibri"/>
        </w:rPr>
        <w:t xml:space="preserve">Required sub-questions: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is the organization’s mission, primary constituencies, and organizational structure?</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is the organization’s relationship to a Christian denomination or ecclesial community?</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Is the organization connected to a theological tradition? Which tradition?</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Why is it important for the organization to undertake this work?</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Who are the organization’s key leaders and staff (especially related to the proposed program)?</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Who was involved in the decision to apply for this grant?</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support does this program have from the organization’s leadership and governing board?</w:t>
      </w:r>
    </w:p>
    <w:p>
      <w:pPr>
        <w:pStyle w:val="Heading3"/>
        <w:spacing w:before="160" w:after="80"/>
      </w:pPr>
      <w:r>
        <w:rPr>
          <w:b/>
          <w:bCs/>
          <w:i w:val="false"/>
          <w:iCs w:val="false"/>
          <w:color w:val="3A4868"/>
          <w:sz w:val="22"/>
          <w:szCs w:val="22"/>
          <w:rFonts w:ascii="Calibri" w:cs="Calibri" w:eastAsia="Calibri" w:hAnsi="Calibri"/>
        </w:rPr>
        <w:t xml:space="preserve">Section 1.1 — Mission, Constituents, and Structure</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Restate Turner’s mission in one or two sentences. Describe primary constituents (current student body, AME clergy, lay leaders, partner congregations). Briefly outline organizational structure (board governance, executive leadership, academic and administrative divisions).</w:t>
      </w:r>
    </w:p>
    <w:p>
      <w:pPr>
        <w:pStyle w:val="Heading3"/>
        <w:spacing w:before="160" w:after="80"/>
      </w:pPr>
      <w:r>
        <w:rPr>
          <w:b/>
          <w:bCs/>
          <w:i w:val="false"/>
          <w:iCs w:val="false"/>
          <w:color w:val="3A4868"/>
          <w:sz w:val="22"/>
          <w:szCs w:val="22"/>
          <w:rFonts w:ascii="Calibri" w:cs="Calibri" w:eastAsia="Calibri" w:hAnsi="Calibri"/>
        </w:rPr>
        <w:t xml:space="preserve">Section 1.2 — Denominational and Theological Tradition</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Expand the historical paragraph in the current draft. State the AME Church relationship explicitly: founded 1894 as the Department of Theology at Morris Brown College; one of the historic AME seminaries; aligned with the AME theological tradition of evangelical Wesleyan-Methodist roots in the Black Church. Identify the theological commitments most relevant to this initiative (e.g., embodied worship, communal discernment, justice as Christian practice, prophetic witness).</w:t>
      </w:r>
    </w:p>
    <w:p>
      <w:pPr>
        <w:pStyle w:val="Heading3"/>
        <w:spacing w:before="160" w:after="80"/>
      </w:pPr>
      <w:r>
        <w:rPr>
          <w:b/>
          <w:bCs/>
          <w:i w:val="false"/>
          <w:iCs w:val="false"/>
          <w:color w:val="3A4868"/>
          <w:sz w:val="22"/>
          <w:szCs w:val="22"/>
          <w:rFonts w:ascii="Calibri" w:cs="Calibri" w:eastAsia="Calibri" w:hAnsi="Calibri"/>
        </w:rPr>
        <w:t xml:space="preserve">Section 1.3 — Why Turner Must Do This Work</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Connect Turner’s historic role in forming Black Church leaders to the present spiritual moment described in the Lilly RFP. Make the case that the spiritual hunger Lilly describes is acutely present in Black and underserved communities, and that Turner is uniquely positioned by tradition, location, and pedagogy to respond.</w:t>
      </w:r>
    </w:p>
    <w:p>
      <w:pPr>
        <w:pStyle w:val="Heading3"/>
        <w:spacing w:before="160" w:after="80"/>
      </w:pPr>
      <w:r>
        <w:rPr>
          <w:b/>
          <w:bCs/>
          <w:i w:val="false"/>
          <w:iCs w:val="false"/>
          <w:color w:val="3A4868"/>
          <w:sz w:val="22"/>
          <w:szCs w:val="22"/>
          <w:rFonts w:ascii="Calibri" w:cs="Calibri" w:eastAsia="Calibri" w:hAnsi="Calibri"/>
        </w:rPr>
        <w:t xml:space="preserve">Section 1.4 — Leadership, Staff, and Governance Support</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Name the key program leaders by role and one-line bio: President/CEO (Dr. Ammie L. Davis), Controller (Aliman Neal), Executive Director of the Initiative (to be named), Program Coordinator, AME ecclesial liaison. State that the proposal was developed by the senior leadership team in consultation with academic deans, the Office of Business and Finance, and presented to / endorsed by the Board of Trustees on [DATE].</w:t>
      </w:r>
    </w:p>
    <w:p>
      <w:pPr>
        <w:pStyle w:val="Heading1"/>
        <w:pBdr>
          <w:bottom w:val="single" w:color="C9B27A" w:sz="6"/>
        </w:pBdr>
        <w:spacing w:before="320" w:after="160"/>
      </w:pPr>
      <w:r>
        <w:rPr>
          <w:b/>
          <w:bCs/>
          <w:i w:val="false"/>
          <w:iCs w:val="false"/>
          <w:color w:val="1F2E5C"/>
          <w:sz w:val="32"/>
          <w:szCs w:val="32"/>
          <w:rFonts w:ascii="Calibri" w:cs="Calibri" w:eastAsia="Calibri" w:hAnsi="Calibri"/>
        </w:rPr>
        <w:t xml:space="preserve">2. Program Purpose   (~2 pages)</w:t>
      </w:r>
    </w:p>
    <w:p>
      <w:pPr>
        <w:spacing w:after="120" w:before="0"/>
      </w:pPr>
      <w:r>
        <w:rPr>
          <w:b w:val="false"/>
          <w:bCs w:val="false"/>
          <w:i w:val="false"/>
          <w:iCs w:val="false"/>
          <w:sz w:val="22"/>
          <w:szCs w:val="22"/>
          <w:rFonts w:ascii="Calibri" w:cs="Calibri" w:eastAsia="Calibri" w:hAnsi="Calibri"/>
        </w:rPr>
        <w:t xml:space="preserve">Required sub-questions: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is the purpose of the proposed program, and how will it advance the aim of the Exploring Practices initiative?</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How does the proposed program respond to the three guiding questions on page 1 of the RFP?</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Who are the specific groups of individuals that the proposed program seeks to reach and serve, and what are their spiritual interests and questions?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Christian practices will the proposed program retrieve, adapt, refine, and deploy?</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are the most conducive opportunities and settings for individuals to explore and engage in these practices?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How does the purpose of the proposed program align with the organization’s mission?</w:t>
      </w:r>
    </w:p>
    <w:p>
      <w:pPr>
        <w:pStyle w:val="Heading3"/>
        <w:spacing w:before="160" w:after="80"/>
      </w:pPr>
      <w:r>
        <w:rPr>
          <w:b/>
          <w:bCs/>
          <w:i w:val="false"/>
          <w:iCs w:val="false"/>
          <w:color w:val="3A4868"/>
          <w:sz w:val="22"/>
          <w:szCs w:val="22"/>
          <w:rFonts w:ascii="Calibri" w:cs="Calibri" w:eastAsia="Calibri" w:hAnsi="Calibri"/>
        </w:rPr>
        <w:t xml:space="preserve">Section 2.1 — Purpose Statement</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One paragraph: a precise restatement of the purpose of the Turner Model in the language of Lilly’s guiding aim — multiplying opportunities and increasing access to settings that help individuals explore and engage in Christian practices.</w:t>
      </w:r>
    </w:p>
    <w:p>
      <w:pPr>
        <w:pStyle w:val="Heading3"/>
        <w:spacing w:before="160" w:after="80"/>
      </w:pPr>
      <w:r>
        <w:rPr>
          <w:b/>
          <w:bCs/>
          <w:i w:val="false"/>
          <w:iCs w:val="false"/>
          <w:color w:val="3A4868"/>
          <w:sz w:val="22"/>
          <w:szCs w:val="22"/>
          <w:rFonts w:ascii="Calibri" w:cs="Calibri" w:eastAsia="Calibri" w:hAnsi="Calibri"/>
        </w:rPr>
        <w:t xml:space="preserve">Section 2.2 — Specific Groups Served &amp; Their Spiritual Questions</w:t>
      </w:r>
    </w:p>
    <w:p>
      <w:pPr>
        <w:spacing w:after="100" w:before="60"/>
        <w:ind w:left="200"/>
      </w:pPr>
      <w:r>
        <w:rPr>
          <w:b/>
          <w:bCs/>
          <w:i w:val="false"/>
          <w:iCs w:val="false"/>
          <w:color w:val="8A6A2E"/>
          <w:sz w:val="20"/>
          <w:szCs w:val="20"/>
          <w:rFonts w:ascii="Calibri" w:cs="Calibri" w:eastAsia="Calibri" w:hAnsi="Calibri"/>
        </w:rPr>
        <w:t xml:space="preserve">NOTE: </w:t>
      </w:r>
      <w:r>
        <w:rPr>
          <w:b w:val="false"/>
          <w:bCs w:val="false"/>
          <w:i/>
          <w:iCs/>
          <w:color w:val="3A4868"/>
          <w:sz w:val="20"/>
          <w:szCs w:val="20"/>
          <w:rFonts w:ascii="Calibri" w:cs="Calibri" w:eastAsia="Calibri" w:hAnsi="Calibri"/>
        </w:rPr>
        <w:t xml:space="preserve">This is one of the most heavily weighted criteria. The current draft lists target groups but does not yet describe what Turner has learned from listening to them. Lilly explicitly asks for evidence of conversations and listening.</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For each named group — women in ministry, emerging leaders under 40, second-career clergy, lay and community leaders, individuals in underserved communities — describe in 2–4 sentences: (a) who they are, (b) the specific spiritual questions they are asking (drawn from focus groups, alumni interviews, AME pastor surveys, or community conversations), (c) why structured opportunities for Christian practice are scarce for them. Quote specific examples where possible.</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If Turner has conducted any listening sessions, focus groups, or surveys in preparing this proposal, summarize the design and findings here. If not, describe a planned listening process in Year 1.</w:t>
      </w:r>
    </w:p>
    <w:p>
      <w:pPr>
        <w:pStyle w:val="Heading3"/>
        <w:spacing w:before="160" w:after="80"/>
      </w:pPr>
      <w:r>
        <w:rPr>
          <w:b/>
          <w:bCs/>
          <w:i w:val="false"/>
          <w:iCs w:val="false"/>
          <w:color w:val="3A4868"/>
          <w:sz w:val="22"/>
          <w:szCs w:val="22"/>
          <w:rFonts w:ascii="Calibri" w:cs="Calibri" w:eastAsia="Calibri" w:hAnsi="Calibri"/>
        </w:rPr>
        <w:t xml:space="preserve">Section 2.3 — Christian Practices: Retrieve, Adapt, Refine, Deploy</w:t>
      </w:r>
    </w:p>
    <w:p>
      <w:pPr>
        <w:spacing w:after="100" w:before="60"/>
        <w:ind w:left="200"/>
      </w:pPr>
      <w:r>
        <w:rPr>
          <w:b/>
          <w:bCs/>
          <w:i w:val="false"/>
          <w:iCs w:val="false"/>
          <w:color w:val="8A6A2E"/>
          <w:sz w:val="20"/>
          <w:szCs w:val="20"/>
          <w:rFonts w:ascii="Calibri" w:cs="Calibri" w:eastAsia="Calibri" w:hAnsi="Calibri"/>
        </w:rPr>
        <w:t xml:space="preserve">NOTE: </w:t>
      </w:r>
      <w:r>
        <w:rPr>
          <w:b w:val="false"/>
          <w:bCs w:val="false"/>
          <w:i/>
          <w:iCs/>
          <w:color w:val="3A4868"/>
          <w:sz w:val="20"/>
          <w:szCs w:val="20"/>
          <w:rFonts w:ascii="Calibri" w:cs="Calibri" w:eastAsia="Calibri" w:hAnsi="Calibri"/>
        </w:rPr>
        <w:t xml:space="preserve">Lilly explicitly uses the four verbs: retrieve, adapt, refine, deploy. Use them as the section structure for each practice family.</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For each of the five practice families — care and presence; discernment and reflection; community and belonging; leadership and service; justice and public witness — provide: (1) the practice’s grounding in the Black Church / AME tradition (RETRIEVE), (2) how it will be adapted for today’s seekers (ADAPT), (3) how it will be refined through the initiative’s cohorts and evaluation (REFINE), (4) how it will be deployed across the Turner Model pathway (DEPLOY).</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Map each practice family to at least one concrete activity in the program design (e.g., “Practices of Discernment will be deployed through TLCH coaching cohorts and JLWLA mentorship gatherings”).</w:t>
      </w:r>
    </w:p>
    <w:p>
      <w:pPr>
        <w:pStyle w:val="Heading3"/>
        <w:spacing w:before="160" w:after="80"/>
      </w:pPr>
      <w:r>
        <w:rPr>
          <w:b/>
          <w:bCs/>
          <w:i w:val="false"/>
          <w:iCs w:val="false"/>
          <w:color w:val="3A4868"/>
          <w:sz w:val="22"/>
          <w:szCs w:val="22"/>
          <w:rFonts w:ascii="Calibri" w:cs="Calibri" w:eastAsia="Calibri" w:hAnsi="Calibri"/>
        </w:rPr>
        <w:t xml:space="preserve">Section 2.4 — Settings and Opportunities</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Describe each setting (residential formation, hybrid classrooms, coaching cohorts, clinical ministry sites, community-based gatherings) with: physical/virtual location, frequency, typical participant volume, and which practices are most engaged there. Explain why these particular settings are most conducive for the specific groups described in 2.2.</w:t>
      </w:r>
    </w:p>
    <w:p>
      <w:pPr>
        <w:pStyle w:val="Heading3"/>
        <w:spacing w:before="160" w:after="80"/>
      </w:pPr>
      <w:r>
        <w:rPr>
          <w:b/>
          <w:bCs/>
          <w:i w:val="false"/>
          <w:iCs w:val="false"/>
          <w:color w:val="3A4868"/>
          <w:sz w:val="22"/>
          <w:szCs w:val="22"/>
          <w:rFonts w:ascii="Calibri" w:cs="Calibri" w:eastAsia="Calibri" w:hAnsi="Calibri"/>
        </w:rPr>
        <w:t xml:space="preserve">Section 2.5 — Alignment with Turner’s Mission</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One paragraph closing the loop: this is not a new direction for Turner but an intensification and broadening of its historic mission.</w:t>
      </w:r>
    </w:p>
    <w:p>
      <w:pPr>
        <w:pStyle w:val="Heading1"/>
        <w:pBdr>
          <w:bottom w:val="single" w:color="C9B27A" w:sz="6"/>
        </w:pBdr>
        <w:spacing w:before="320" w:after="160"/>
      </w:pPr>
      <w:r>
        <w:rPr>
          <w:b/>
          <w:bCs/>
          <w:i w:val="false"/>
          <w:iCs w:val="false"/>
          <w:color w:val="1F2E5C"/>
          <w:sz w:val="32"/>
          <w:szCs w:val="32"/>
          <w:rFonts w:ascii="Calibri" w:cs="Calibri" w:eastAsia="Calibri" w:hAnsi="Calibri"/>
        </w:rPr>
        <w:t xml:space="preserve">3. Program Design   (~2.5 pages)</w:t>
      </w:r>
    </w:p>
    <w:p>
      <w:pPr>
        <w:spacing w:after="120" w:before="0"/>
      </w:pPr>
      <w:r>
        <w:rPr>
          <w:b w:val="false"/>
          <w:bCs w:val="false"/>
          <w:i w:val="false"/>
          <w:iCs w:val="false"/>
          <w:sz w:val="22"/>
          <w:szCs w:val="22"/>
          <w:rFonts w:ascii="Calibri" w:cs="Calibri" w:eastAsia="Calibri" w:hAnsi="Calibri"/>
        </w:rPr>
        <w:t xml:space="preserve">Required sub-questions: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are the proposed program’s key activities and how will they result in a coherent and effective strategy?</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Who will lead the proposed program and implement its activities?</w:t>
      </w:r>
    </w:p>
    <w:p>
      <w:pPr>
        <w:pStyle w:val="Heading3"/>
        <w:spacing w:before="160" w:after="80"/>
      </w:pPr>
      <w:r>
        <w:rPr>
          <w:b/>
          <w:bCs/>
          <w:i w:val="false"/>
          <w:iCs w:val="false"/>
          <w:color w:val="3A4868"/>
          <w:sz w:val="22"/>
          <w:szCs w:val="22"/>
          <w:rFonts w:ascii="Calibri" w:cs="Calibri" w:eastAsia="Calibri" w:hAnsi="Calibri"/>
        </w:rPr>
        <w:t xml:space="preserve">Section 3.1 — The Turner Model Pathway</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Detail each component (JLWLA → Sankofa CPE → TLCH → MDiv → TIPRSS): purpose, format, length, target cohort size, practices engaged, and how it connects to adjacent components. Include a visual diagram of the pathway (separate page or inset) showing entry points, durations, and outcomes.</w:t>
      </w:r>
    </w:p>
    <w:p>
      <w:pPr>
        <w:pStyle w:val="Heading3"/>
        <w:spacing w:before="160" w:after="80"/>
      </w:pPr>
      <w:r>
        <w:rPr>
          <w:b/>
          <w:bCs/>
          <w:i w:val="false"/>
          <w:iCs w:val="false"/>
          <w:color w:val="3A4868"/>
          <w:sz w:val="22"/>
          <w:szCs w:val="22"/>
          <w:rFonts w:ascii="Calibri" w:cs="Calibri" w:eastAsia="Calibri" w:hAnsi="Calibri"/>
        </w:rPr>
        <w:t xml:space="preserve">Section 3.2 — Year-by-Year Key Activities</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Brief paragraph for each year (1–5) describing the major activities, scaled appropriately. This should align with the Program Timetable submitted separately. Year 1: design + first cohorts. Year 2: full implementation. Year 3: scale + community engagement expansion. Year 4: evaluation &amp; refinement. Year 5: replication &amp; sustainability launch.</w:t>
      </w:r>
    </w:p>
    <w:p>
      <w:pPr>
        <w:pStyle w:val="Heading3"/>
        <w:spacing w:before="160" w:after="80"/>
      </w:pPr>
      <w:r>
        <w:rPr>
          <w:b/>
          <w:bCs/>
          <w:i w:val="false"/>
          <w:iCs w:val="false"/>
          <w:color w:val="3A4868"/>
          <w:sz w:val="22"/>
          <w:szCs w:val="22"/>
          <w:rFonts w:ascii="Calibri" w:cs="Calibri" w:eastAsia="Calibri" w:hAnsi="Calibri"/>
        </w:rPr>
        <w:t xml:space="preserve">Section 3.3 — Program Leadership and Implementation Team</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Identify the Executive Director (50% FTE, name TBD or named), Program Coordinator (100% FTE), Administrative Support (50% FTE), and faculty involvement. State who reports to whom and how oversight flows to the President and Board. Reference budget alignment.</w:t>
      </w:r>
    </w:p>
    <w:p>
      <w:pPr>
        <w:pStyle w:val="Heading1"/>
        <w:pBdr>
          <w:bottom w:val="single" w:color="C9B27A" w:sz="6"/>
        </w:pBdr>
        <w:spacing w:before="320" w:after="160"/>
      </w:pPr>
      <w:r>
        <w:rPr>
          <w:b/>
          <w:bCs/>
          <w:i w:val="false"/>
          <w:iCs w:val="false"/>
          <w:color w:val="1F2E5C"/>
          <w:sz w:val="32"/>
          <w:szCs w:val="32"/>
          <w:rFonts w:ascii="Calibri" w:cs="Calibri" w:eastAsia="Calibri" w:hAnsi="Calibri"/>
        </w:rPr>
        <w:t xml:space="preserve">4. Collaborations and Partnerships   (~1 page)</w:t>
      </w:r>
    </w:p>
    <w:p>
      <w:pPr>
        <w:spacing w:after="120" w:before="0"/>
      </w:pPr>
      <w:r>
        <w:rPr>
          <w:b w:val="false"/>
          <w:bCs w:val="false"/>
          <w:i w:val="false"/>
          <w:iCs w:val="false"/>
          <w:sz w:val="22"/>
          <w:szCs w:val="22"/>
          <w:rFonts w:ascii="Calibri" w:cs="Calibri" w:eastAsia="Calibri" w:hAnsi="Calibri"/>
        </w:rPr>
        <w:t xml:space="preserve">Required sub-questions: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With whom will the organization collaborate?</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Are these existing or new relationships?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are the responsibilities of each collaborating organization?</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How will the organization manage these relationships?</w:t>
      </w:r>
    </w:p>
    <w:p>
      <w:pPr>
        <w:spacing w:after="100" w:before="60"/>
        <w:ind w:left="200"/>
      </w:pPr>
      <w:r>
        <w:rPr>
          <w:b/>
          <w:bCs/>
          <w:i w:val="false"/>
          <w:iCs w:val="false"/>
          <w:color w:val="8A6A2E"/>
          <w:sz w:val="20"/>
          <w:szCs w:val="20"/>
          <w:rFonts w:ascii="Calibri" w:cs="Calibri" w:eastAsia="Calibri" w:hAnsi="Calibri"/>
        </w:rPr>
        <w:t xml:space="preserve">NOTE: </w:t>
      </w:r>
      <w:r>
        <w:rPr>
          <w:b w:val="false"/>
          <w:bCs w:val="false"/>
          <w:i/>
          <w:iCs/>
          <w:color w:val="3A4868"/>
          <w:sz w:val="20"/>
          <w:szCs w:val="20"/>
          <w:rFonts w:ascii="Calibri" w:cs="Calibri" w:eastAsia="Calibri" w:hAnsi="Calibri"/>
        </w:rPr>
        <w:t xml:space="preserve">If there are collaborating organizations, Lilly REQUIRES letters of support to accompany the proposal. Identify partners early so support letters can be requested in time for May 18.</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For each likely partner — ACPE (CPE accreditation body), AME judicatories (districts, conferences), partner congregations hosting cohorts, community organizations hosting service-learning, peer theological institutions for replication — describe the responsibility, deliverables, and whether the relationship is existing or new.</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Describe the management structure (e.g., quarterly partner meetings convened by the Executive Director, MOUs, joint evaluation participation).</w:t>
      </w:r>
    </w:p>
    <w:p>
      <w:pPr>
        <w:pStyle w:val="Heading1"/>
        <w:pBdr>
          <w:bottom w:val="single" w:color="C9B27A" w:sz="6"/>
        </w:pBdr>
        <w:spacing w:before="320" w:after="160"/>
      </w:pPr>
      <w:r>
        <w:rPr>
          <w:b/>
          <w:bCs/>
          <w:i w:val="false"/>
          <w:iCs w:val="false"/>
          <w:color w:val="1F2E5C"/>
          <w:sz w:val="32"/>
          <w:szCs w:val="32"/>
          <w:rFonts w:ascii="Calibri" w:cs="Calibri" w:eastAsia="Calibri" w:hAnsi="Calibri"/>
        </w:rPr>
        <w:t xml:space="preserve">5. Outcomes, Performance Indicators, and Evaluation Plan   (~2 pages)</w:t>
      </w:r>
    </w:p>
    <w:p>
      <w:pPr>
        <w:spacing w:after="120" w:before="0"/>
      </w:pPr>
      <w:r>
        <w:rPr>
          <w:b w:val="false"/>
          <w:bCs w:val="false"/>
          <w:i w:val="false"/>
          <w:iCs w:val="false"/>
          <w:sz w:val="22"/>
          <w:szCs w:val="22"/>
          <w:rFonts w:ascii="Calibri" w:cs="Calibri" w:eastAsia="Calibri" w:hAnsi="Calibri"/>
        </w:rPr>
        <w:t xml:space="preserve">Required sub-questions: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are the anticipated outcomes for the proposed program?</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does the organization wish to achieve in three years? In five years? In ten years?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specific performance indicators will be used? What are the intervals for achieving them?</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is the plan to evaluate the program? Who is responsible? Quantitative and qualitative methods?</w:t>
      </w:r>
    </w:p>
    <w:p>
      <w:pPr>
        <w:spacing w:after="100" w:before="60"/>
        <w:ind w:left="200"/>
      </w:pPr>
      <w:r>
        <w:rPr>
          <w:b/>
          <w:bCs/>
          <w:i w:val="false"/>
          <w:iCs w:val="false"/>
          <w:color w:val="8A6A2E"/>
          <w:sz w:val="20"/>
          <w:szCs w:val="20"/>
          <w:rFonts w:ascii="Calibri" w:cs="Calibri" w:eastAsia="Calibri" w:hAnsi="Calibri"/>
        </w:rPr>
        <w:t xml:space="preserve">NOTE: </w:t>
      </w:r>
      <w:r>
        <w:rPr>
          <w:b w:val="false"/>
          <w:bCs w:val="false"/>
          <w:i/>
          <w:iCs/>
          <w:color w:val="3A4868"/>
          <w:sz w:val="20"/>
          <w:szCs w:val="20"/>
          <w:rFonts w:ascii="Calibri" w:cs="Calibri" w:eastAsia="Calibri" w:hAnsi="Calibri"/>
        </w:rPr>
        <w:t xml:space="preserve">This is a heavily-weighted section. The current draft has aspirational outcomes (“Expanded participation”) but no quantified targets or indicators. Lilly’s sample shows the expected specificity: “at least 200 individuals participate; 100 by midpoint.”</w:t>
      </w:r>
    </w:p>
    <w:p>
      <w:pPr>
        <w:pStyle w:val="Heading3"/>
        <w:spacing w:before="160" w:after="80"/>
      </w:pPr>
      <w:r>
        <w:rPr>
          <w:b/>
          <w:bCs/>
          <w:i w:val="false"/>
          <w:iCs w:val="false"/>
          <w:color w:val="3A4868"/>
          <w:sz w:val="22"/>
          <w:szCs w:val="22"/>
          <w:rFonts w:ascii="Calibri" w:cs="Calibri" w:eastAsia="Calibri" w:hAnsi="Calibri"/>
        </w:rPr>
        <w:t xml:space="preserve">Section 5.1 — Three-Tier Outcomes (3 yr / 5 yr / 10 yr)</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Draft 4–6 outcomes per tier. Examples to adapt:</w:t>
      </w:r>
    </w:p>
    <w:p>
      <w:pPr>
        <w:pStyle w:val="ListParagraph"/>
        <w:numPr>
          <w:ilvl w:val="1"/>
          <w:numId w:val="1"/>
        </w:numPr>
        <w:spacing w:after="60"/>
      </w:pPr>
      <w:r>
        <w:rPr>
          <w:b w:val="false"/>
          <w:bCs w:val="false"/>
          <w:i w:val="false"/>
          <w:iCs w:val="false"/>
          <w:sz w:val="22"/>
          <w:szCs w:val="22"/>
          <w:rFonts w:ascii="Calibri" w:cs="Calibri" w:eastAsia="Calibri" w:hAnsi="Calibri"/>
        </w:rPr>
        <w:t xml:space="preserve">3 years: at least 180 individuals participate in JLWLA mentorship; 60 Sankofa CPE units delivered; 8 TLCH coaching cohorts complete; 75% of participants report deepened engagement in named Christian practices.</w:t>
      </w:r>
    </w:p>
    <w:p>
      <w:pPr>
        <w:pStyle w:val="ListParagraph"/>
        <w:numPr>
          <w:ilvl w:val="1"/>
          <w:numId w:val="1"/>
        </w:numPr>
        <w:spacing w:after="60"/>
      </w:pPr>
      <w:r>
        <w:rPr>
          <w:b w:val="false"/>
          <w:bCs w:val="false"/>
          <w:i w:val="false"/>
          <w:iCs w:val="false"/>
          <w:sz w:val="22"/>
          <w:szCs w:val="22"/>
          <w:rFonts w:ascii="Calibri" w:cs="Calibri" w:eastAsia="Calibri" w:hAnsi="Calibri"/>
        </w:rPr>
        <w:t xml:space="preserve">5 years: cumulative 350+ participants across pathway; replication toolkit published; 3 peer institutions begin pilot adaptation; Turner enrollment in MDiv pathway grows by [X]%.</w:t>
      </w:r>
    </w:p>
    <w:p>
      <w:pPr>
        <w:pStyle w:val="ListParagraph"/>
        <w:numPr>
          <w:ilvl w:val="1"/>
          <w:numId w:val="1"/>
        </w:numPr>
        <w:spacing w:after="60"/>
      </w:pPr>
      <w:r>
        <w:rPr>
          <w:b w:val="false"/>
          <w:bCs w:val="false"/>
          <w:i w:val="false"/>
          <w:iCs w:val="false"/>
          <w:sz w:val="22"/>
          <w:szCs w:val="22"/>
          <w:rFonts w:ascii="Calibri" w:cs="Calibri" w:eastAsia="Calibri" w:hAnsi="Calibri"/>
        </w:rPr>
        <w:t xml:space="preserve">10 years: Turner Model embedded in permanent operating budget; named endowment for the initiative initiated; alumni network of practitioners convening annually.</w:t>
      </w:r>
    </w:p>
    <w:p>
      <w:pPr>
        <w:pStyle w:val="Heading3"/>
        <w:spacing w:before="160" w:after="80"/>
      </w:pPr>
      <w:r>
        <w:rPr>
          <w:b/>
          <w:bCs/>
          <w:i w:val="false"/>
          <w:iCs w:val="false"/>
          <w:color w:val="3A4868"/>
          <w:sz w:val="22"/>
          <w:szCs w:val="22"/>
          <w:rFonts w:ascii="Calibri" w:cs="Calibri" w:eastAsia="Calibri" w:hAnsi="Calibri"/>
        </w:rPr>
        <w:t xml:space="preserve">Section 5.2 — Performance Indicator Table</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Build a table with columns: Outcome | Indicator | Measurement Method | Year-by-Year Targets (Y1–Y5) | Responsible Party. Include both quantitative indicators (participant counts, completion rates) and qualitative indicators (pre/post survey scores, participant testimony themes).</w:t>
      </w:r>
    </w:p>
    <w:p>
      <w:pPr>
        <w:pStyle w:val="Heading3"/>
        <w:spacing w:before="160" w:after="80"/>
      </w:pPr>
      <w:r>
        <w:rPr>
          <w:b/>
          <w:bCs/>
          <w:i w:val="false"/>
          <w:iCs w:val="false"/>
          <w:color w:val="3A4868"/>
          <w:sz w:val="22"/>
          <w:szCs w:val="22"/>
          <w:rFonts w:ascii="Calibri" w:cs="Calibri" w:eastAsia="Calibri" w:hAnsi="Calibri"/>
        </w:rPr>
        <w:t xml:space="preserve">Section 5.3 — Evaluation Plan</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Describe: (1) external evaluator (engaged in Y1, baseline assessment, mid-term review Y3, annual reports, final evaluation Y5 — referenced in budget line E.1, $100K total). (2) Methods: pre/post participant surveys, focus groups with each cohort, key-informant interviews with partner clergy, administrative data on enrollment and completion. (3) Responsibility chain: Executive Director owns internal evaluation; external evaluator owns independent assessment; both report to President and Board.</w:t>
      </w:r>
    </w:p>
    <w:p>
      <w:pPr>
        <w:pStyle w:val="Heading1"/>
        <w:pBdr>
          <w:bottom w:val="single" w:color="C9B27A" w:sz="6"/>
        </w:pBdr>
        <w:spacing w:before="320" w:after="160"/>
      </w:pPr>
      <w:r>
        <w:rPr>
          <w:b/>
          <w:bCs/>
          <w:i w:val="false"/>
          <w:iCs w:val="false"/>
          <w:color w:val="1F2E5C"/>
          <w:sz w:val="32"/>
          <w:szCs w:val="32"/>
          <w:rFonts w:ascii="Calibri" w:cs="Calibri" w:eastAsia="Calibri" w:hAnsi="Calibri"/>
        </w:rPr>
        <w:t xml:space="preserve">6. Communication   (~1 page)</w:t>
      </w:r>
    </w:p>
    <w:p>
      <w:pPr>
        <w:spacing w:after="120" w:before="0"/>
      </w:pPr>
      <w:r>
        <w:rPr>
          <w:b w:val="false"/>
          <w:bCs w:val="false"/>
          <w:i w:val="false"/>
          <w:iCs w:val="false"/>
          <w:sz w:val="22"/>
          <w:szCs w:val="22"/>
          <w:rFonts w:ascii="Calibri" w:cs="Calibri" w:eastAsia="Calibri" w:hAnsi="Calibri"/>
        </w:rPr>
        <w:t xml:space="preserve">Required sub-questions: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How will the organization communicate and share insights and resources?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With whom will the organization seek to communicate what is learned?</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communication tools will the organization employ and how?</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Audiences: AME denomination (General Conference, district conferences); peer theological institutions (ATS, Black theological education consortia); partner congregations; participants and alumni; broader Christian publics.</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Tools and cadence: annual impact report; participant story videos (2/yr); replication toolkit (Y3–Y5); presentations at ATS, AAR/SBL, AME General Conference; web presence; social media. Reference budget line G — $95K supporting these activities.</w:t>
      </w:r>
    </w:p>
    <w:p>
      <w:pPr>
        <w:pStyle w:val="Heading1"/>
        <w:pBdr>
          <w:bottom w:val="single" w:color="C9B27A" w:sz="6"/>
        </w:pBdr>
        <w:spacing w:before="320" w:after="160"/>
      </w:pPr>
      <w:r>
        <w:rPr>
          <w:b/>
          <w:bCs/>
          <w:i w:val="false"/>
          <w:iCs w:val="false"/>
          <w:color w:val="1F2E5C"/>
          <w:sz w:val="32"/>
          <w:szCs w:val="32"/>
          <w:rFonts w:ascii="Calibri" w:cs="Calibri" w:eastAsia="Calibri" w:hAnsi="Calibri"/>
        </w:rPr>
        <w:t xml:space="preserve">7. Sustainability and Continuation   (~1.5 pages)</w:t>
      </w:r>
    </w:p>
    <w:p>
      <w:pPr>
        <w:spacing w:after="120" w:before="0"/>
      </w:pPr>
      <w:r>
        <w:rPr>
          <w:b w:val="false"/>
          <w:bCs w:val="false"/>
          <w:i w:val="false"/>
          <w:iCs w:val="false"/>
          <w:sz w:val="22"/>
          <w:szCs w:val="22"/>
          <w:rFonts w:ascii="Calibri" w:cs="Calibri" w:eastAsia="Calibri" w:hAnsi="Calibri"/>
        </w:rPr>
        <w:t xml:space="preserve">Required sub-questions: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How does the organization intend to sustain the program beyond the grant?</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How will the program be embedded in ongoing operations?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How will new sources of funding be cultivated? When will cultivation begin?</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Are fundraising expenses included in the budget?</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If collaboration is part of the design, how will partners participate in sustaining?</w:t>
      </w:r>
    </w:p>
    <w:p>
      <w:pPr>
        <w:spacing w:after="100" w:before="60"/>
        <w:ind w:left="200"/>
      </w:pPr>
      <w:r>
        <w:rPr>
          <w:b/>
          <w:bCs/>
          <w:i w:val="false"/>
          <w:iCs w:val="false"/>
          <w:color w:val="8A6A2E"/>
          <w:sz w:val="20"/>
          <w:szCs w:val="20"/>
          <w:rFonts w:ascii="Calibri" w:cs="Calibri" w:eastAsia="Calibri" w:hAnsi="Calibri"/>
        </w:rPr>
        <w:t xml:space="preserve">NOTE: </w:t>
      </w:r>
      <w:r>
        <w:rPr>
          <w:b w:val="false"/>
          <w:bCs w:val="false"/>
          <w:i/>
          <w:iCs/>
          <w:color w:val="3A4868"/>
          <w:sz w:val="20"/>
          <w:szCs w:val="20"/>
          <w:rFonts w:ascii="Calibri" w:cs="Calibri" w:eastAsia="Calibri" w:hAnsi="Calibri"/>
        </w:rPr>
        <w:t xml:space="preserve">The current draft is thin on this section. Lilly’s rubric is detailed; the response should be equally detailed.</w:t>
      </w:r>
    </w:p>
    <w:p>
      <w:pPr>
        <w:pStyle w:val="Heading3"/>
        <w:spacing w:before="160" w:after="80"/>
      </w:pPr>
      <w:r>
        <w:rPr>
          <w:b/>
          <w:bCs/>
          <w:i w:val="false"/>
          <w:iCs w:val="false"/>
          <w:color w:val="3A4868"/>
          <w:sz w:val="22"/>
          <w:szCs w:val="22"/>
          <w:rFonts w:ascii="Calibri" w:cs="Calibri" w:eastAsia="Calibri" w:hAnsi="Calibri"/>
        </w:rPr>
        <w:t xml:space="preserve">Section 7.1 — Continuation Strategy</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Specify the post-2030 sustainability mix: (a) tuition revenue from enrollment growth — quantify expected enrollment lift; (b) earned revenue from CPE program (per-unit fees from non-Turner participants); (c) advancement (major gifts, AME-affiliated giving, alumni); (d) named endowment for the initiative — set a campaign target.</w:t>
      </w:r>
    </w:p>
    <w:p>
      <w:pPr>
        <w:pStyle w:val="Heading3"/>
        <w:spacing w:before="160" w:after="80"/>
      </w:pPr>
      <w:r>
        <w:rPr>
          <w:b/>
          <w:bCs/>
          <w:i w:val="false"/>
          <w:iCs w:val="false"/>
          <w:color w:val="3A4868"/>
          <w:sz w:val="22"/>
          <w:szCs w:val="22"/>
          <w:rFonts w:ascii="Calibri" w:cs="Calibri" w:eastAsia="Calibri" w:hAnsi="Calibri"/>
        </w:rPr>
        <w:t xml:space="preserve">Section 7.2 — Embedding in Operations</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Describe how grant-funded staff transition to institutional staffing in Year 5: Program Coordinator becomes permanent line; Executive Director responsibilities absorbed into existing Academic Dean or new VP role.</w:t>
      </w:r>
    </w:p>
    <w:p>
      <w:pPr>
        <w:pStyle w:val="Heading3"/>
        <w:spacing w:before="160" w:after="80"/>
      </w:pPr>
      <w:r>
        <w:rPr>
          <w:b/>
          <w:bCs/>
          <w:i w:val="false"/>
          <w:iCs w:val="false"/>
          <w:color w:val="3A4868"/>
          <w:sz w:val="22"/>
          <w:szCs w:val="22"/>
          <w:rFonts w:ascii="Calibri" w:cs="Calibri" w:eastAsia="Calibri" w:hAnsi="Calibri"/>
        </w:rPr>
        <w:t xml:space="preserve">Section 7.3 — Fundraising Timeline and Budget</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State that cultivation begins in Year 1 (not deferred), referencing budget line H1 ($45K total) and H2 ($45K total). Outline a year-by-year fundraising milestone schedule (Y1: feasibility &amp; case statement; Y2: silent-phase major donors; Y3: public campaign; Y4–5: sustained giving).</w:t>
      </w:r>
    </w:p>
    <w:p>
      <w:pPr>
        <w:pStyle w:val="Heading1"/>
        <w:pBdr>
          <w:bottom w:val="single" w:color="C9B27A" w:sz="6"/>
        </w:pBdr>
        <w:spacing w:before="320" w:after="160"/>
      </w:pPr>
      <w:r>
        <w:rPr>
          <w:b/>
          <w:bCs/>
          <w:i w:val="false"/>
          <w:iCs w:val="false"/>
          <w:color w:val="1F2E5C"/>
          <w:sz w:val="32"/>
          <w:szCs w:val="32"/>
          <w:rFonts w:ascii="Calibri" w:cs="Calibri" w:eastAsia="Calibri" w:hAnsi="Calibri"/>
        </w:rPr>
        <w:t xml:space="preserve">8. Organizational Capacity   (~1 page)</w:t>
      </w:r>
    </w:p>
    <w:p>
      <w:pPr>
        <w:spacing w:after="120" w:before="0"/>
      </w:pPr>
      <w:r>
        <w:rPr>
          <w:b w:val="false"/>
          <w:bCs w:val="false"/>
          <w:i w:val="false"/>
          <w:iCs w:val="false"/>
          <w:sz w:val="22"/>
          <w:szCs w:val="22"/>
          <w:rFonts w:ascii="Calibri" w:cs="Calibri" w:eastAsia="Calibri" w:hAnsi="Calibri"/>
        </w:rPr>
        <w:t xml:space="preserve">Required sub-questions: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is the organization’s current annual operating budget, and what are the major sources of revenue?</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past successes demonstrate capacity to do this work?</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How does the proposed program relate to current programs and structure?</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What challenges does the organization anticipate? Strategies for addressing them?</w:t>
      </w:r>
    </w:p>
    <w:p>
      <w:pPr>
        <w:pStyle w:val="Heading3"/>
        <w:spacing w:before="160" w:after="80"/>
      </w:pPr>
      <w:r>
        <w:rPr>
          <w:b/>
          <w:bCs/>
          <w:i w:val="false"/>
          <w:iCs w:val="false"/>
          <w:color w:val="3A4868"/>
          <w:sz w:val="22"/>
          <w:szCs w:val="22"/>
          <w:rFonts w:ascii="Calibri" w:cs="Calibri" w:eastAsia="Calibri" w:hAnsi="Calibri"/>
        </w:rPr>
        <w:t xml:space="preserve">Section 8.1 — Annual Operating Budget and Revenue</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Provide current FY operating budget total (figure from Turner Finance Office). Identify major revenue sources by percentage (tuition, AME church appropriations, housing/auxiliary, grants, endowment draw, advancement).</w:t>
      </w:r>
    </w:p>
    <w:p>
      <w:pPr>
        <w:spacing w:after="100" w:before="60"/>
        <w:ind w:left="200"/>
      </w:pPr>
      <w:r>
        <w:rPr>
          <w:b/>
          <w:bCs/>
          <w:i w:val="false"/>
          <w:iCs w:val="false"/>
          <w:color w:val="8A6A2E"/>
          <w:sz w:val="20"/>
          <w:szCs w:val="20"/>
          <w:rFonts w:ascii="Calibri" w:cs="Calibri" w:eastAsia="Calibri" w:hAnsi="Calibri"/>
        </w:rPr>
        <w:t xml:space="preserve">NOTE: </w:t>
      </w:r>
      <w:r>
        <w:rPr>
          <w:b w:val="false"/>
          <w:bCs w:val="false"/>
          <w:i/>
          <w:iCs/>
          <w:color w:val="3A4868"/>
          <w:sz w:val="20"/>
          <w:szCs w:val="20"/>
          <w:rFonts w:ascii="Calibri" w:cs="Calibri" w:eastAsia="Calibri" w:hAnsi="Calibri"/>
        </w:rPr>
        <w:t xml:space="preserve">A copy of the current-year operating budget AND audited financial statements must be submitted with the proposal — coordinate with Aliman Neal.</w:t>
      </w:r>
    </w:p>
    <w:p>
      <w:pPr>
        <w:pStyle w:val="Heading3"/>
        <w:spacing w:before="160" w:after="80"/>
      </w:pPr>
      <w:r>
        <w:rPr>
          <w:b/>
          <w:bCs/>
          <w:i w:val="false"/>
          <w:iCs w:val="false"/>
          <w:color w:val="3A4868"/>
          <w:sz w:val="22"/>
          <w:szCs w:val="22"/>
          <w:rFonts w:ascii="Calibri" w:cs="Calibri" w:eastAsia="Calibri" w:hAnsi="Calibri"/>
        </w:rPr>
        <w:t xml:space="preserve">Section 8.2 — Past Successes</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Specific examples: enrollment trajectory, accreditation milestones, signature graduates (e.g., the Colonel chaplain alumna featured in the draft), prior successful grants completed, Sankofa CPE accreditation, partnerships built.</w:t>
      </w:r>
    </w:p>
    <w:p>
      <w:pPr>
        <w:pStyle w:val="Heading3"/>
        <w:spacing w:before="160" w:after="80"/>
      </w:pPr>
      <w:r>
        <w:rPr>
          <w:b/>
          <w:bCs/>
          <w:i w:val="false"/>
          <w:iCs w:val="false"/>
          <w:color w:val="3A4868"/>
          <w:sz w:val="22"/>
          <w:szCs w:val="22"/>
          <w:rFonts w:ascii="Calibri" w:cs="Calibri" w:eastAsia="Calibri" w:hAnsi="Calibri"/>
        </w:rPr>
        <w:t xml:space="preserve">Section 8.3 — Relationship to Current Programs</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Show how the four model components already exist in some form, so the grant intensifies and integrates rather than starts from zero. State explicitly that this is an integration and expansion, not a launch.</w:t>
      </w:r>
    </w:p>
    <w:p>
      <w:pPr>
        <w:pStyle w:val="Heading3"/>
        <w:spacing w:before="160" w:after="80"/>
      </w:pPr>
      <w:r>
        <w:rPr>
          <w:b/>
          <w:bCs/>
          <w:i w:val="false"/>
          <w:iCs w:val="false"/>
          <w:color w:val="3A4868"/>
          <w:sz w:val="22"/>
          <w:szCs w:val="22"/>
          <w:rFonts w:ascii="Calibri" w:cs="Calibri" w:eastAsia="Calibri" w:hAnsi="Calibri"/>
        </w:rPr>
        <w:t xml:space="preserve">Section 8.4 — Anticipated Challenges and Mitigation</w:t>
      </w:r>
    </w:p>
    <w:p>
      <w:pPr>
        <w:spacing w:after="80"/>
        <w:ind w:left="360"/>
      </w:pPr>
      <w:r>
        <w:rPr>
          <w:b/>
          <w:bCs/>
          <w:i w:val="false"/>
          <w:iCs w:val="false"/>
          <w:color w:val="8A6A2E"/>
          <w:sz w:val="22"/>
          <w:szCs w:val="22"/>
          <w:rFonts w:ascii="Calibri" w:cs="Calibri" w:eastAsia="Calibri" w:hAnsi="Calibri"/>
        </w:rPr>
        <w:t xml:space="preserve">→ </w:t>
      </w:r>
      <w:r>
        <w:rPr>
          <w:b w:val="false"/>
          <w:bCs w:val="false"/>
          <w:i/>
          <w:iCs/>
          <w:color w:val="4A5C8A"/>
          <w:sz w:val="22"/>
          <w:szCs w:val="22"/>
          <w:rFonts w:ascii="Calibri" w:cs="Calibri" w:eastAsia="Calibri" w:hAnsi="Calibri"/>
        </w:rPr>
        <w:t xml:space="preserve">Be candid. Likely challenges: recruiting participants outside current networks; staffing in a tight market; CPE supervisor availability; balancing scale with relational depth; institutional capacity during scale-up. For each, propose a mitigation strategy.</w:t>
      </w:r>
    </w:p>
    <w:p>
      <w:pPr>
        <w:pStyle w:val="Heading1"/>
        <w:pBdr>
          <w:bottom w:val="single" w:color="C9B27A" w:sz="6"/>
        </w:pBdr>
        <w:spacing w:before="320" w:after="160"/>
      </w:pPr>
      <w:r>
        <w:rPr>
          <w:b/>
          <w:bCs/>
          <w:i w:val="false"/>
          <w:iCs w:val="false"/>
          <w:color w:val="1F2E5C"/>
          <w:sz w:val="32"/>
          <w:szCs w:val="32"/>
          <w:rFonts w:ascii="Calibri" w:cs="Calibri" w:eastAsia="Calibri" w:hAnsi="Calibri"/>
        </w:rPr>
        <w:t xml:space="preserve">Closing Notes for the Drafting Team</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Target ~12 pages total. Sections 2 and 5 carry the most weight in Lilly’s evaluation criteria.</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Use Lilly’s exact language where appropriate: “retrieve, adapt, refine, deploy”; “multiply opportunities and increase access”; “nourish their religious lives.”</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The Executive Summary (separate 1-page document) should be drafted LAST, after the narrative is finalized.</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Program Timetable (separate 1-page document) should align with the year-by-year activities in Section 3.2 and the performance indicators in Section 5.2.</w:t>
      </w:r>
    </w:p>
    <w:p>
      <w:pPr>
        <w:pStyle w:val="ListParagraph"/>
        <w:numPr>
          <w:ilvl w:val="0"/>
          <w:numId w:val="1"/>
        </w:numPr>
        <w:spacing w:after="60"/>
      </w:pPr>
      <w:r>
        <w:rPr>
          <w:b w:val="false"/>
          <w:bCs w:val="false"/>
          <w:i w:val="false"/>
          <w:iCs w:val="false"/>
          <w:sz w:val="22"/>
          <w:szCs w:val="22"/>
          <w:rFonts w:ascii="Calibri" w:cs="Calibri" w:eastAsia="Calibri" w:hAnsi="Calibri"/>
        </w:rPr>
        <w:t xml:space="preserve">Cross-reference budget line items by letter (A–I) when discussing resources, so reviewers can connect narrative claims to dollars.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2026-05-16T20:06:42.460Z</dcterms:created>
  <dcterms:modified xsi:type="dcterms:W3CDTF">2026-05-16T20:06:42.460Z</dcterms:modified>
</cp:coreProperties>
</file>

<file path=docProps/custom.xml><?xml version="1.0" encoding="utf-8"?>
<Properties xmlns="http://schemas.openxmlformats.org/officeDocument/2006/custom-properties" xmlns:vt="http://schemas.openxmlformats.org/officeDocument/2006/docPropsVTypes"/>
</file>