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The Turner Model: Integrated Christian Practices Initiative</w:t>
      </w:r>
    </w:p>
    <w:p>
      <w:pPr>
        <w:pStyle w:val="Heading2"/>
        <w:jc w:val="center"/>
      </w:pPr>
      <w:r>
        <w:t>Revised Budget Narrative</w:t>
      </w:r>
    </w:p>
    <w:p>
      <w:r>
        <w:rPr>
          <w:b/>
        </w:rPr>
        <w:t>Total Grant Request: $2,500,000 | Five-Year Grant Period (2026–2030)</w:t>
        <w:br/>
        <w:br/>
      </w:r>
      <w:r>
        <w:t>This revised Budget Narrative aligns directly with the rebuilt personnel structure, ecclesial and strategic partnership ecosystem, operational infrastructure, and sustainability framework developed for The Turner Model: Integrated Christian Practices Initiative. The budget has been intentionally structured to reflect Lilly Endowment priorities related to Christian practices, participant engagement, community formation, dissemination, evaluation, leadership cultivation, sustainability, and replication.</w:t>
      </w:r>
    </w:p>
    <w:p>
      <w:pPr>
        <w:pStyle w:val="Heading2"/>
      </w:pPr>
      <w:r>
        <w:t>I. PERSONNEL — Institutional Leadership &amp; Operational Capacity</w:t>
      </w:r>
    </w:p>
    <w:p>
      <w:r>
        <w:t>Personnel costs support the leadership, operational staffing, participant engagement, evaluation, communications, and formation infrastructure necessary to implement and sustain the initiative.</w:t>
      </w:r>
    </w:p>
    <w:p>
      <w:pPr>
        <w:pStyle w:val="ListBullet"/>
      </w:pPr>
      <w:r>
        <w:t>Institutional leadership positions are partially allocated to the grant to demonstrate institutional investment and shared responsibility.</w:t>
      </w:r>
    </w:p>
    <w:p>
      <w:pPr>
        <w:pStyle w:val="ListBullet"/>
      </w:pPr>
      <w:r>
        <w:t>Grant-funded operational positions support daily implementation, Christian practices integration, participant coordination, dissemination, and assessment.</w:t>
      </w:r>
    </w:p>
    <w:p>
      <w:pPr>
        <w:pStyle w:val="ListBullet"/>
      </w:pPr>
      <w:r>
        <w:t>Turner intentionally reduced executive leadership allocations to reflect long-term institutional sustainability.</w:t>
      </w:r>
    </w:p>
    <w:p>
      <w:pPr>
        <w:pStyle w:val="Heading2"/>
      </w:pPr>
      <w:r>
        <w:t>Institutional Leadership Allocations</w:t>
      </w:r>
    </w:p>
    <w:p>
      <w:r>
        <w:t>The following institutional leadership positions are partially allocated to the grant based on direct initiative responsibilities:</w:t>
      </w:r>
    </w:p>
    <w:p>
      <w:pPr>
        <w:pStyle w:val="ListBullet"/>
      </w:pPr>
      <w:r>
        <w:t>Principal Investigator / Executive Director — Dr. Ammie L. Davis (10%)</w:t>
      </w:r>
    </w:p>
    <w:p>
      <w:pPr>
        <w:pStyle w:val="ListBullet"/>
      </w:pPr>
      <w:r>
        <w:t>Co-Principal Investigator — Dr. Buford (10%)</w:t>
      </w:r>
    </w:p>
    <w:p>
      <w:pPr>
        <w:pStyle w:val="ListBullet"/>
      </w:pPr>
      <w:r>
        <w:t>Strategic Operations &amp; Engagement Lead — Dr. Valdes Snipes (15%)</w:t>
      </w:r>
    </w:p>
    <w:p>
      <w:pPr>
        <w:pStyle w:val="ListBullet"/>
      </w:pPr>
      <w:r>
        <w:t>Academic Integration Lead — Dr. James Plenty (10%)</w:t>
      </w:r>
    </w:p>
    <w:p>
      <w:pPr>
        <w:pStyle w:val="ListBullet"/>
      </w:pPr>
      <w:r>
        <w:t>Chief of Staff &amp; Strategic Alignment — Dr. Eboni Chillis (5%)</w:t>
      </w:r>
    </w:p>
    <w:p>
      <w:pPr>
        <w:pStyle w:val="ListBullet"/>
      </w:pPr>
      <w:r>
        <w:t>Financial Compliance Officer — Karen Jordan (3%)</w:t>
      </w:r>
    </w:p>
    <w:p>
      <w:pPr>
        <w:pStyle w:val="ListBullet"/>
      </w:pPr>
      <w:r>
        <w:t>Advancement &amp; Sustainability Lead — David Austin (10%)</w:t>
      </w:r>
    </w:p>
    <w:p>
      <w:pPr>
        <w:pStyle w:val="ListBullet"/>
      </w:pPr>
      <w:r>
        <w:t>Evaluation Oversight Lead — Dr. Toks Fashola (10%)</w:t>
      </w:r>
    </w:p>
    <w:p>
      <w:pPr>
        <w:pStyle w:val="ListBullet"/>
      </w:pPr>
      <w:r>
        <w:t>Operations &amp; Facilities Liaison — Aliman Neal (5%)</w:t>
      </w:r>
    </w:p>
    <w:p>
      <w:pPr>
        <w:pStyle w:val="Heading2"/>
      </w:pPr>
      <w:r>
        <w:t>Core Grant-Funded Operational Staff</w:t>
      </w:r>
    </w:p>
    <w:p>
      <w:r>
        <w:t>These positions form the operational backbone of the initiative and are fully or substantially grant-funded:</w:t>
      </w:r>
    </w:p>
    <w:p>
      <w:pPr>
        <w:pStyle w:val="ListBullet"/>
      </w:pPr>
      <w:r>
        <w:t>Director of Christian Practices &amp; Formation</w:t>
      </w:r>
    </w:p>
    <w:p>
      <w:pPr>
        <w:pStyle w:val="ListBullet"/>
      </w:pPr>
      <w:r>
        <w:t>Program Manager / Operations Coordinator</w:t>
      </w:r>
    </w:p>
    <w:p>
      <w:pPr>
        <w:pStyle w:val="ListBullet"/>
      </w:pPr>
      <w:r>
        <w:t>Communications &amp; Dissemination Specialist</w:t>
      </w:r>
    </w:p>
    <w:p>
      <w:pPr>
        <w:pStyle w:val="ListBullet"/>
      </w:pPr>
      <w:r>
        <w:t>Assessment &amp; Evaluation Coordinator</w:t>
      </w:r>
    </w:p>
    <w:p>
      <w:pPr>
        <w:pStyle w:val="ListBullet"/>
      </w:pPr>
      <w:r>
        <w:t>Participant Engagement &amp; Formation Coordinator</w:t>
      </w:r>
    </w:p>
    <w:p>
      <w:pPr>
        <w:pStyle w:val="Heading2"/>
      </w:pPr>
      <w:r>
        <w:t>II. CHRISTIAN PRACTICES &amp; FORMATION ACTIVITIES</w:t>
      </w:r>
    </w:p>
    <w:p>
      <w:r>
        <w:t>This category supports direct participant engagement through integrated Christian formation experiences across the Turner Model pathways.</w:t>
      </w:r>
    </w:p>
    <w:p>
      <w:pPr>
        <w:pStyle w:val="ListBullet"/>
      </w:pPr>
      <w:r>
        <w:t>Christian practices retreats and discernment gatherings</w:t>
      </w:r>
    </w:p>
    <w:p>
      <w:pPr>
        <w:pStyle w:val="ListBullet"/>
      </w:pPr>
      <w:r>
        <w:t>JLWLA leadership formation experiences</w:t>
      </w:r>
    </w:p>
    <w:p>
      <w:pPr>
        <w:pStyle w:val="ListBullet"/>
      </w:pPr>
      <w:r>
        <w:t>TLCH coaching cohorts and reflection circles</w:t>
      </w:r>
    </w:p>
    <w:p>
      <w:pPr>
        <w:pStyle w:val="ListBullet"/>
      </w:pPr>
      <w:r>
        <w:t>Community listening sessions</w:t>
      </w:r>
    </w:p>
    <w:p>
      <w:pPr>
        <w:pStyle w:val="ListBullet"/>
      </w:pPr>
      <w:r>
        <w:t>Worship and sacred arts experiences</w:t>
      </w:r>
    </w:p>
    <w:p>
      <w:pPr>
        <w:pStyle w:val="ListBullet"/>
      </w:pPr>
      <w:r>
        <w:t>Justice and public witness formation activities</w:t>
      </w:r>
    </w:p>
    <w:p>
      <w:pPr>
        <w:pStyle w:val="ListBullet"/>
      </w:pPr>
      <w:r>
        <w:t>Participant formation materials and leadership workshops</w:t>
      </w:r>
    </w:p>
    <w:p>
      <w:pPr>
        <w:pStyle w:val="Heading2"/>
      </w:pPr>
      <w:r>
        <w:t>III. ECCLESIAL &amp; COMMUNITY PARTNERSHIPS</w:t>
      </w:r>
    </w:p>
    <w:p>
      <w:r>
        <w:t>The initiative expands access to Christian practices through ecclesial, theological, and community-based partnerships.</w:t>
      </w:r>
    </w:p>
    <w:p>
      <w:pPr>
        <w:pStyle w:val="ListBullet"/>
      </w:pPr>
      <w:r>
        <w:t>The Sixth Episcopal District of the African Methodist Episcopal Church will support clergy engagement, women in ministry leadership development, congregational partnerships, and regional formation gatherings.</w:t>
      </w:r>
    </w:p>
    <w:p>
      <w:pPr>
        <w:pStyle w:val="ListBullet"/>
      </w:pPr>
      <w:r>
        <w:t>Salvation and Social Justice will support public theology engagement, justice-centered Christian practices, community reflection experiences, civic engagement workshops, and public witness formation.</w:t>
      </w:r>
    </w:p>
    <w:p>
      <w:pPr>
        <w:pStyle w:val="ListBullet"/>
      </w:pPr>
      <w:r>
        <w:t>Partnership resources support facilitators, formation coaches, regional gatherings, and community-based engagement settings.</w:t>
      </w:r>
    </w:p>
    <w:p>
      <w:pPr>
        <w:pStyle w:val="Heading2"/>
      </w:pPr>
      <w:r>
        <w:t>IV. SANKOFA CPE CLINICAL FORMATION</w:t>
      </w:r>
    </w:p>
    <w:p>
      <w:r>
        <w:t>This category supports practices of care, pastoral presence, spiritual accompaniment, and clinical reflection through the Turner–Sankofa CPE partnership.</w:t>
      </w:r>
    </w:p>
    <w:p>
      <w:pPr>
        <w:pStyle w:val="ListBullet"/>
      </w:pPr>
      <w:r>
        <w:t>ACPE supervision support</w:t>
      </w:r>
    </w:p>
    <w:p>
      <w:pPr>
        <w:pStyle w:val="ListBullet"/>
      </w:pPr>
      <w:r>
        <w:t>Clinical formation facilitators</w:t>
      </w:r>
    </w:p>
    <w:p>
      <w:pPr>
        <w:pStyle w:val="ListBullet"/>
      </w:pPr>
      <w:r>
        <w:t>Spiritual care mentors</w:t>
      </w:r>
    </w:p>
    <w:p>
      <w:pPr>
        <w:pStyle w:val="ListBullet"/>
      </w:pPr>
      <w:r>
        <w:t>Reflection groups and participant support</w:t>
      </w:r>
    </w:p>
    <w:p>
      <w:pPr>
        <w:pStyle w:val="ListBullet"/>
      </w:pPr>
      <w:r>
        <w:t>Clinical ministry training resources</w:t>
      </w:r>
    </w:p>
    <w:p>
      <w:pPr>
        <w:pStyle w:val="Heading2"/>
      </w:pPr>
      <w:r>
        <w:t>V. COMMUNICATIONS &amp; DISSEMINATION</w:t>
      </w:r>
    </w:p>
    <w:p>
      <w:r>
        <w:t>Communications and dissemination activities support broad engagement with the initiative’s insights, practices, and outcomes.</w:t>
      </w:r>
    </w:p>
    <w:p>
      <w:pPr>
        <w:pStyle w:val="ListBullet"/>
      </w:pPr>
      <w:r>
        <w:t>Digital storytelling and participant narratives</w:t>
      </w:r>
    </w:p>
    <w:p>
      <w:pPr>
        <w:pStyle w:val="ListBullet"/>
      </w:pPr>
      <w:r>
        <w:t>Website and content development</w:t>
      </w:r>
    </w:p>
    <w:p>
      <w:pPr>
        <w:pStyle w:val="ListBullet"/>
      </w:pPr>
      <w:r>
        <w:t>Video documentation and webinar series</w:t>
      </w:r>
    </w:p>
    <w:p>
      <w:pPr>
        <w:pStyle w:val="ListBullet"/>
      </w:pPr>
      <w:r>
        <w:t>Publications and annual reports</w:t>
      </w:r>
    </w:p>
    <w:p>
      <w:pPr>
        <w:pStyle w:val="ListBullet"/>
      </w:pPr>
      <w:r>
        <w:t>Replication toolkit development</w:t>
      </w:r>
    </w:p>
    <w:p>
      <w:pPr>
        <w:pStyle w:val="ListBullet"/>
      </w:pPr>
      <w:r>
        <w:t>Podcast and digital media engagement</w:t>
      </w:r>
    </w:p>
    <w:p>
      <w:pPr>
        <w:pStyle w:val="Heading2"/>
      </w:pPr>
      <w:r>
        <w:t>VI. EVALUATION &amp; LEARNING</w:t>
      </w:r>
    </w:p>
    <w:p>
      <w:r>
        <w:t>Evaluation activities support continuous learning, participant outcome tracking, and program improvement.</w:t>
      </w:r>
    </w:p>
    <w:p>
      <w:pPr>
        <w:pStyle w:val="ListBullet"/>
      </w:pPr>
      <w:r>
        <w:t>External evaluator support</w:t>
      </w:r>
    </w:p>
    <w:p>
      <w:pPr>
        <w:pStyle w:val="ListBullet"/>
      </w:pPr>
      <w:r>
        <w:t>Participant surveys and focus groups</w:t>
      </w:r>
    </w:p>
    <w:p>
      <w:pPr>
        <w:pStyle w:val="ListBullet"/>
      </w:pPr>
      <w:r>
        <w:t>Assessment dashboards and data systems</w:t>
      </w:r>
    </w:p>
    <w:p>
      <w:pPr>
        <w:pStyle w:val="ListBullet"/>
      </w:pPr>
      <w:r>
        <w:t>Participant interviews and learning reports</w:t>
      </w:r>
    </w:p>
    <w:p>
      <w:pPr>
        <w:pStyle w:val="ListBullet"/>
      </w:pPr>
      <w:r>
        <w:t>Midpoint and final evaluations</w:t>
      </w:r>
    </w:p>
    <w:p>
      <w:pPr>
        <w:pStyle w:val="Heading2"/>
      </w:pPr>
      <w:r>
        <w:t>VII. SUSTAINABILITY &amp; REPLICATION</w:t>
      </w:r>
    </w:p>
    <w:p>
      <w:r>
        <w:t>Turner is committed to sustaining and institutionalizing the initiative beyond the grant period.</w:t>
      </w:r>
    </w:p>
    <w:p>
      <w:pPr>
        <w:pStyle w:val="ListBullet"/>
      </w:pPr>
      <w:r>
        <w:t>Advancement and donor cultivation activities</w:t>
      </w:r>
    </w:p>
    <w:p>
      <w:pPr>
        <w:pStyle w:val="ListBullet"/>
      </w:pPr>
      <w:r>
        <w:t>Major gift and partnership development</w:t>
      </w:r>
    </w:p>
    <w:p>
      <w:pPr>
        <w:pStyle w:val="ListBullet"/>
      </w:pPr>
      <w:r>
        <w:t>Board engagement and strategic planning</w:t>
      </w:r>
    </w:p>
    <w:p>
      <w:pPr>
        <w:pStyle w:val="ListBullet"/>
      </w:pPr>
      <w:r>
        <w:t>Replication and institutionalization planning</w:t>
      </w:r>
    </w:p>
    <w:p>
      <w:pPr>
        <w:pStyle w:val="ListBullet"/>
      </w:pPr>
      <w:r>
        <w:t>Long-term sustainability infrastructure</w:t>
      </w:r>
    </w:p>
    <w:p>
      <w:pPr>
        <w:pStyle w:val="Heading2"/>
      </w:pPr>
      <w:r>
        <w:t>VIII. TECHNOLOGY &amp; HYBRID INFRASTRUCTURE</w:t>
      </w:r>
    </w:p>
    <w:p>
      <w:r>
        <w:t>Technology investments support hybrid learning, digital formation, and participant access across multiple settings.</w:t>
      </w:r>
    </w:p>
    <w:p>
      <w:pPr>
        <w:pStyle w:val="ListBullet"/>
      </w:pPr>
      <w:r>
        <w:t>Learning Management System support</w:t>
      </w:r>
    </w:p>
    <w:p>
      <w:pPr>
        <w:pStyle w:val="ListBullet"/>
      </w:pPr>
      <w:r>
        <w:t>Hybrid learning and webinar infrastructure</w:t>
      </w:r>
    </w:p>
    <w:p>
      <w:pPr>
        <w:pStyle w:val="ListBullet"/>
      </w:pPr>
      <w:r>
        <w:t>Digital resource libraries</w:t>
      </w:r>
    </w:p>
    <w:p>
      <w:pPr>
        <w:pStyle w:val="ListBullet"/>
      </w:pPr>
      <w:r>
        <w:t>Streaming and recording technology</w:t>
      </w:r>
    </w:p>
    <w:p>
      <w:pPr>
        <w:pStyle w:val="ListBullet"/>
      </w:pPr>
      <w:r>
        <w:t>Participant access technology and online platforms</w:t>
      </w:r>
    </w:p>
    <w:p>
      <w:pPr>
        <w:pStyle w:val="Heading2"/>
      </w:pPr>
      <w:r>
        <w:t>IX. FELLOWS &amp; EMERGING LEADERS</w:t>
      </w:r>
    </w:p>
    <w:p>
      <w:r>
        <w:t>This category supports leadership pipeline development and intergenerational ministry formation.</w:t>
      </w:r>
    </w:p>
    <w:p>
      <w:pPr>
        <w:pStyle w:val="ListBullet"/>
      </w:pPr>
      <w:r>
        <w:t>Graduate Ministry Fellows</w:t>
      </w:r>
    </w:p>
    <w:p>
      <w:pPr>
        <w:pStyle w:val="ListBullet"/>
      </w:pPr>
      <w:r>
        <w:t>Christian Practices Fellows</w:t>
      </w:r>
    </w:p>
    <w:p>
      <w:pPr>
        <w:pStyle w:val="ListBullet"/>
      </w:pPr>
      <w:r>
        <w:t>Research &amp; Evaluation Fellows</w:t>
      </w:r>
    </w:p>
    <w:p>
      <w:pPr>
        <w:pStyle w:val="ListBullet"/>
      </w:pPr>
      <w:r>
        <w:t>Digital Media Fellows</w:t>
      </w:r>
    </w:p>
    <w:p>
      <w:pPr>
        <w:pStyle w:val="ListBullet"/>
      </w:pPr>
      <w:r>
        <w:t>Community Engagement Fellows</w:t>
      </w:r>
    </w:p>
    <w:p>
      <w:pPr>
        <w:pStyle w:val="ListBullet"/>
      </w:pPr>
      <w:r>
        <w:t>Worship &amp; Retreat Fellows</w:t>
      </w:r>
    </w:p>
    <w:p>
      <w:pPr>
        <w:pStyle w:val="ListBullet"/>
      </w:pPr>
      <w:r>
        <w:t>Public Theology Fellows</w:t>
      </w:r>
    </w:p>
    <w:p>
      <w:pPr>
        <w:pStyle w:val="Heading2"/>
      </w:pPr>
      <w:r>
        <w:t>X. INDIRECT COSTS</w:t>
      </w:r>
    </w:p>
    <w:p>
      <w:r>
        <w:t>Turner Theological Seminary requests indirect costs at 6% of direct costs, well within Lilly Endowment guidelines.</w:t>
      </w:r>
    </w:p>
    <w:p>
      <w:pPr>
        <w:pStyle w:val="ListBullet"/>
      </w:pPr>
      <w:r>
        <w:t>Indirect costs support grant accounting, financial monitoring, human resources support, compliance oversight, institutional technology infrastructure, legal and administrative support, and facilities administration.</w:t>
      </w:r>
    </w:p>
    <w:p>
      <w:pPr>
        <w:pStyle w:val="Heading2"/>
      </w:pPr>
      <w:r>
        <w:t>Conclusion</w:t>
      </w:r>
    </w:p>
    <w:p>
      <w:r>
        <w:t>This revised budget narrative demonstrates Turner Theological Seminary’s commitment to institutional investment, sustainable operational capacity, ecclesial and community engagement, participant-centered Christian formation, and long-term replication of The Turner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