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rPr>
          <w:rFonts w:ascii="Cambria" w:hAnsi="Cambria"/>
          <w:color w:val="5A2D91"/>
          <w:sz w:val="36"/>
          <w:b/>
        </w:rPr>
        <w:t xml:space="preserve">The Turner Model: Integrated Christian Practices Initiative</w:t>
      </w:r>
    </w:p>
    <w:p>
      <w:pPr>
        <w:pStyle w:val="Heading2"/>
        <w:spacing w:before="240" w:after="120"/>
      </w:pPr>
      <w:r>
        <w:rPr>
          <w:rFonts w:ascii="Cambria" w:hAnsi="Cambria"/>
          <w:color w:val="5A2D91"/>
          <w:sz w:val="28"/>
          <w:b/>
        </w:rPr>
        <w:t xml:space="preserve">Revised Budget Narrative — Option 1</w:t>
      </w:r>
    </w:p>
    <w:p>
      <w:pPr>
        <w:spacing w:after="120" w:line="300" w:lineRule="auto"/>
      </w:pPr>
      <w:r>
        <w:rPr>
          <w:rFonts w:ascii="Cambria" w:hAnsi="Cambria"/>
          <w:sz w:val="22"/>
          <w:b/>
        </w:rPr>
        <w:t xml:space="preserve">Total Grant Request: </w:t>
      </w:r>
      <w:r>
        <w:rPr>
          <w:rFonts w:ascii="Cambria" w:hAnsi="Cambria"/>
          <w:sz w:val="22"/>
          <w:b/>
          <w:color w:val="5A2D91"/>
        </w:rPr>
        <w:t xml:space="preserve">$2,500,000</w:t>
      </w:r>
      <w:r>
        <w:rPr>
          <w:rFonts w:ascii="Cambria" w:hAnsi="Cambria"/>
          <w:sz w:val="22"/>
        </w:rPr>
        <w:t xml:space="preserve">  |  Five-Year Grant Period (2026–2030)</w:t>
      </w:r>
    </w:p>
    <w:p>
      <w:pPr>
        <w:spacing w:after="120" w:line="300" w:lineRule="auto"/>
      </w:pPr>
      <w:r>
        <w:rPr>
          <w:rFonts w:ascii="Cambria" w:hAnsi="Cambria"/>
          <w:sz w:val="22"/>
        </w:rPr>
        <w:t xml:space="preserve">This revised Budget Narrative aligns directly with the rebuilt personnel structure, ecclesial and strategic partnership ecosystem, operational infrastructure, and sustainability framework developed for The Turner Model: Integrated Christian Practices Initiative. The budget has been intentionally structured to reflect Lilly Endowment priorities related to Christian practices, participant engagement, community formation, dissemination, evaluation, leadership cultivation, sustainability, and replication.</w:t>
      </w:r>
    </w:p>
    <w:p>
      <w:pPr>
        <w:spacing w:after="120" w:line="300" w:lineRule="auto"/>
      </w:pPr>
      <w:r>
        <w:rPr>
          <w:rFonts w:ascii="Cambria" w:hAnsi="Cambria"/>
          <w:sz w:val="22"/>
          <w:b/>
          <w:color w:val="5A2D91"/>
        </w:rPr>
        <w:t xml:space="preserve">Budget at a glance. </w:t>
      </w:r>
      <w:r>
        <w:rPr>
          <w:rFonts w:ascii="Cambria" w:hAnsi="Cambria"/>
          <w:sz w:val="22"/>
        </w:rPr>
        <w:t xml:space="preserve">Direct costs total $2,360,000 (94.4%). Indirect costs total $140,000, held at a flat 6% of direct costs across all five years — well within the Lilly Endowment 10% cap. Annual income matches annual expenses: $504,000 (2026) · $521,000 (2027) · $514,000 (2028) · $493,000 (2029) · $468,000 (2030).</w:t>
      </w:r>
    </w:p>
    <w:p>
      <w:pPr>
        <w:spacing w:before="240" w:after="60"/>
      </w:pPr>
      <w:r>
        <w:rPr>
          <w:rFonts w:ascii="Arial" w:hAnsi="Arial"/>
          <w:color w:val="8a6d18"/>
          <w:sz w:val="16"/>
          <w:b/>
          <w:caps/>
          <w:spacing w:val="60"/>
        </w:rPr>
        <w:t xml:space="preserve">I. Personnel — Institutional Leadership &amp; Operational Capacity</w:t>
      </w:r>
    </w:p>
    <w:p>
      <w:pPr>
        <w:spacing w:after="120" w:line="300" w:lineRule="auto"/>
      </w:pPr>
      <w:r>
        <w:rPr>
          <w:rFonts w:ascii="Cambria" w:hAnsi="Cambria"/>
          <w:sz w:val="22"/>
        </w:rPr>
        <w:t xml:space="preserve">Personnel costs support the leadership, operational staffing, participant engagement, evaluation, communications, and formation infrastructure necessary to implement and sustain the initiative. Institutional leadership effort is recognized in the narrative as cost-share commitment, and grant-funded operational positions support daily implementation, Christian practices integration, participant coordination, dissemination, and assessment. Turner intentionally calibrated leadership allocations to reflect long-term institutional sustainability.</w:t>
      </w:r>
    </w:p>
    <w:p>
      <w:pPr>
        <w:spacing w:after="120" w:line="300" w:lineRule="auto"/>
      </w:pPr>
      <w:r>
        <w:rPr>
          <w:rFonts w:ascii="Cambria" w:hAnsi="Cambria"/>
          <w:sz w:val="22"/>
          <w:i/>
        </w:rPr>
        <w:t xml:space="preserve">Grant-funded personnel declines year-over-year </w:t>
      </w:r>
      <w:r>
        <w:rPr>
          <w:rFonts w:ascii="Cambria" w:hAnsi="Cambria"/>
          <w:sz w:val="22"/>
          <w:b/>
          <w:i/>
          <w:color w:val="5A2D91"/>
        </w:rPr>
        <w:t xml:space="preserve">($180K → $185K → $175K → $160K → $150K)</w:t>
      </w:r>
      <w:r>
        <w:rPr>
          <w:rFonts w:ascii="Cambria" w:hAnsi="Cambria"/>
          <w:sz w:val="22"/>
          <w:i/>
        </w:rPr>
        <w:t xml:space="preserve"> as institutional cost-share absorbs incremental responsibility, reflecting Turner's commitment to sustainability and a deliberate fade-out plan for grant dependency. Fringe is applied at Turner's standard 20% rate, calculated separately each year.</w:t>
      </w:r>
    </w:p>
    <w:p>
      <w:pPr>
        <w:spacing w:before="160" w:after="80"/>
      </w:pPr>
      <w:r>
        <w:rPr>
          <w:rFonts w:ascii="Cambria" w:hAnsi="Cambria"/>
          <w:color w:val="3a1c64"/>
          <w:sz w:val="24"/>
          <w:b/>
        </w:rPr>
        <w:t xml:space="preserve">Proposal Development Working Team (Team 1) — Institutional Leadership</w:t>
      </w:r>
    </w:p>
    <w:p>
      <w:pPr>
        <w:spacing w:after="120" w:line="300" w:lineRule="auto"/>
      </w:pPr>
      <w:r>
        <w:rPr>
          <w:rFonts w:ascii="Cambria" w:hAnsi="Cambria"/>
          <w:sz w:val="22"/>
        </w:rPr>
        <w:t xml:space="preserve">The following Team 1 institutional leadership positions hold allocated effort on the initiative:</w:t>
      </w:r>
    </w:p>
    <w:p>
      <w:pPr>
        <w:numPr>
          <w:ilvl w:val="0"/>
          <w:numId w:val="1"/>
        </w:numPr>
        <w:spacing w:after="80"/>
      </w:pPr>
      <w:r>
        <w:rPr>
          <w:rFonts w:ascii="Cambria" w:hAnsi="Cambria"/>
          <w:sz w:val="22"/>
        </w:rPr>
        <w:t xml:space="preserve">Principal Investigator / Executive Director — Dr. Ammie L. Davis</w:t>
      </w:r>
    </w:p>
    <w:p>
      <w:pPr>
        <w:numPr>
          <w:ilvl w:val="0"/>
          <w:numId w:val="1"/>
        </w:numPr>
        <w:spacing w:after="80"/>
      </w:pPr>
      <w:r>
        <w:rPr>
          <w:rFonts w:ascii="Cambria" w:hAnsi="Cambria"/>
          <w:sz w:val="22"/>
        </w:rPr>
        <w:t xml:space="preserve">Co-Principal Investigator — Dr. Buford</w:t>
      </w:r>
    </w:p>
    <w:p>
      <w:pPr>
        <w:numPr>
          <w:ilvl w:val="0"/>
          <w:numId w:val="1"/>
        </w:numPr>
        <w:spacing w:after="80"/>
      </w:pPr>
      <w:r>
        <w:rPr>
          <w:rFonts w:ascii="Cambria" w:hAnsi="Cambria"/>
          <w:sz w:val="22"/>
        </w:rPr>
        <w:t xml:space="preserve">Principal Investigator for Evaluation — Dr. Toks Fashola</w:t>
      </w:r>
    </w:p>
    <w:p>
      <w:pPr>
        <w:numPr>
          <w:ilvl w:val="0"/>
          <w:numId w:val="1"/>
        </w:numPr>
        <w:spacing w:after="80"/>
      </w:pPr>
      <w:r>
        <w:rPr>
          <w:rFonts w:ascii="Cambria" w:hAnsi="Cambria"/>
          <w:sz w:val="22"/>
        </w:rPr>
        <w:t xml:space="preserve">Co-Principal Investigator for Engagement — Dr. Valdes Snipes</w:t>
      </w:r>
    </w:p>
    <w:p>
      <w:pPr>
        <w:numPr>
          <w:ilvl w:val="0"/>
          <w:numId w:val="1"/>
        </w:numPr>
        <w:spacing w:after="80"/>
      </w:pPr>
      <w:r>
        <w:rPr>
          <w:rFonts w:ascii="Cambria" w:hAnsi="Cambria"/>
          <w:sz w:val="22"/>
        </w:rPr>
        <w:t xml:space="preserve">Institutional Advancement, Philanthropic and Enrollment Strategy — David Austin</w:t>
      </w:r>
    </w:p>
    <w:p>
      <w:pPr>
        <w:numPr>
          <w:ilvl w:val="0"/>
          <w:numId w:val="1"/>
        </w:numPr>
        <w:spacing w:after="80"/>
      </w:pPr>
      <w:r>
        <w:rPr>
          <w:rFonts w:ascii="Cambria" w:hAnsi="Cambria"/>
          <w:sz w:val="22"/>
        </w:rPr>
        <w:t xml:space="preserve">Accounting, Operations, and Student Services — Aliman Neal</w:t>
      </w:r>
    </w:p>
    <w:p>
      <w:pPr>
        <w:spacing w:before="160" w:after="80"/>
      </w:pPr>
      <w:r>
        <w:rPr>
          <w:rFonts w:ascii="Cambria" w:hAnsi="Cambria"/>
          <w:color w:val="3a1c64"/>
          <w:sz w:val="24"/>
          <w:b/>
        </w:rPr>
        <w:t xml:space="preserve">Editorial Review &amp; Strategic Oversight (Team 2) — In-Kind Governance</w:t>
      </w:r>
    </w:p>
    <w:p>
      <w:pPr>
        <w:spacing w:after="120" w:line="300" w:lineRule="auto"/>
      </w:pPr>
      <w:r>
        <w:rPr>
          <w:rFonts w:ascii="Cambria" w:hAnsi="Cambria"/>
          <w:sz w:val="22"/>
        </w:rPr>
        <w:t xml:space="preserve">The following Team 2 positions provide editorial review, strategic feedback, and final recommendations as in-kind institutional governance. Their effort is recognized as institutional cost-share and is not charged to the grant:</w:t>
      </w:r>
    </w:p>
    <w:p>
      <w:pPr>
        <w:numPr>
          <w:ilvl w:val="0"/>
          <w:numId w:val="1"/>
        </w:numPr>
        <w:spacing w:after="80"/>
      </w:pPr>
      <w:r>
        <w:rPr>
          <w:rFonts w:ascii="Cambria" w:hAnsi="Cambria"/>
          <w:sz w:val="22"/>
        </w:rPr>
        <w:t xml:space="preserve">Dr. James Plenty — Office of Academic Affairs</w:t>
      </w:r>
    </w:p>
    <w:p>
      <w:pPr>
        <w:numPr>
          <w:ilvl w:val="0"/>
          <w:numId w:val="1"/>
        </w:numPr>
        <w:spacing w:after="80"/>
      </w:pPr>
      <w:r>
        <w:rPr>
          <w:rFonts w:ascii="Cambria" w:hAnsi="Cambria"/>
          <w:sz w:val="22"/>
        </w:rPr>
        <w:t xml:space="preserve">Dr. Eboni Chillis — Office of the President</w:t>
      </w:r>
    </w:p>
    <w:p>
      <w:pPr>
        <w:numPr>
          <w:ilvl w:val="0"/>
          <w:numId w:val="1"/>
        </w:numPr>
        <w:spacing w:after="80"/>
      </w:pPr>
      <w:r>
        <w:rPr>
          <w:rFonts w:ascii="Cambria" w:hAnsi="Cambria"/>
          <w:sz w:val="22"/>
        </w:rPr>
        <w:t xml:space="preserve">Karen Jordan — Office of Business and Finance</w:t>
      </w:r>
    </w:p>
    <w:p>
      <w:pPr>
        <w:numPr>
          <w:ilvl w:val="0"/>
          <w:numId w:val="1"/>
        </w:numPr>
        <w:spacing w:after="80"/>
      </w:pPr>
      <w:r>
        <w:rPr>
          <w:rFonts w:ascii="Cambria" w:hAnsi="Cambria"/>
          <w:sz w:val="22"/>
        </w:rPr>
        <w:t xml:space="preserve">Dr. Susan Ephraim — Board of Trustees Representative</w:t>
      </w:r>
    </w:p>
    <w:p>
      <w:pPr>
        <w:numPr>
          <w:ilvl w:val="0"/>
          <w:numId w:val="1"/>
        </w:numPr>
        <w:spacing w:after="80"/>
      </w:pPr>
      <w:r>
        <w:rPr>
          <w:rFonts w:ascii="Cambria" w:hAnsi="Cambria"/>
          <w:sz w:val="22"/>
        </w:rPr>
        <w:t xml:space="preserve">Dr. Christopher Campbell — Faculty Senate Representative</w:t>
      </w:r>
    </w:p>
    <w:p>
      <w:pPr>
        <w:spacing w:before="160" w:after="80"/>
      </w:pPr>
      <w:r>
        <w:rPr>
          <w:rFonts w:ascii="Cambria" w:hAnsi="Cambria"/>
          <w:color w:val="3a1c64"/>
          <w:sz w:val="24"/>
          <w:b/>
        </w:rPr>
        <w:t xml:space="preserve">Core Grant-Funded Operational Staff</w:t>
      </w:r>
    </w:p>
    <w:p>
      <w:pPr>
        <w:spacing w:after="120" w:line="300" w:lineRule="auto"/>
      </w:pPr>
      <w:r>
        <w:rPr>
          <w:rFonts w:ascii="Cambria" w:hAnsi="Cambria"/>
          <w:sz w:val="22"/>
        </w:rPr>
        <w:t xml:space="preserve">These positions form the operational backbone of the initiative and are grant-funded:</w:t>
      </w:r>
    </w:p>
    <w:p>
      <w:pPr>
        <w:numPr>
          <w:ilvl w:val="0"/>
          <w:numId w:val="1"/>
        </w:numPr>
        <w:spacing w:after="80"/>
      </w:pPr>
      <w:r>
        <w:rPr>
          <w:rFonts w:ascii="Cambria" w:hAnsi="Cambria"/>
          <w:sz w:val="22"/>
        </w:rPr>
        <w:t xml:space="preserve">Director of Christian Practices &amp; Formation</w:t>
      </w:r>
    </w:p>
    <w:p>
      <w:pPr>
        <w:numPr>
          <w:ilvl w:val="0"/>
          <w:numId w:val="1"/>
        </w:numPr>
        <w:spacing w:after="80"/>
      </w:pPr>
      <w:r>
        <w:rPr>
          <w:rFonts w:ascii="Cambria" w:hAnsi="Cambria"/>
          <w:sz w:val="22"/>
        </w:rPr>
        <w:t xml:space="preserve">Program Manager / Operations Coordinator</w:t>
      </w:r>
    </w:p>
    <w:p>
      <w:pPr>
        <w:numPr>
          <w:ilvl w:val="0"/>
          <w:numId w:val="1"/>
        </w:numPr>
        <w:spacing w:after="80"/>
      </w:pPr>
      <w:r>
        <w:rPr>
          <w:rFonts w:ascii="Cambria" w:hAnsi="Cambria"/>
          <w:sz w:val="22"/>
        </w:rPr>
        <w:t xml:space="preserve">Communications &amp; Dissemination Specialist</w:t>
      </w:r>
    </w:p>
    <w:p>
      <w:pPr>
        <w:numPr>
          <w:ilvl w:val="0"/>
          <w:numId w:val="1"/>
        </w:numPr>
        <w:spacing w:after="80"/>
      </w:pPr>
      <w:r>
        <w:rPr>
          <w:rFonts w:ascii="Cambria" w:hAnsi="Cambria"/>
          <w:sz w:val="22"/>
        </w:rPr>
        <w:t xml:space="preserve">Assessment &amp; Evaluation Coordinator</w:t>
      </w:r>
    </w:p>
    <w:p>
      <w:pPr>
        <w:numPr>
          <w:ilvl w:val="0"/>
          <w:numId w:val="1"/>
        </w:numPr>
        <w:spacing w:after="80"/>
      </w:pPr>
      <w:r>
        <w:rPr>
          <w:rFonts w:ascii="Cambria" w:hAnsi="Cambria"/>
          <w:sz w:val="22"/>
        </w:rPr>
        <w:t xml:space="preserve">Participant Engagement &amp; Formation Coordinator</w:t>
      </w:r>
    </w:p>
    <w:p>
      <w:pPr>
        <w:spacing w:before="240" w:after="60"/>
      </w:pPr>
      <w:r>
        <w:rPr>
          <w:rFonts w:ascii="Arial" w:hAnsi="Arial"/>
          <w:color w:val="8a6d18"/>
          <w:sz w:val="16"/>
          <w:b/>
          <w:caps/>
          <w:spacing w:val="60"/>
        </w:rPr>
        <w:t xml:space="preserve">II. Christian Practices &amp; Formation Activities — $500,000</w:t>
      </w:r>
    </w:p>
    <w:p>
      <w:pPr>
        <w:spacing w:after="120" w:line="300" w:lineRule="auto"/>
      </w:pPr>
      <w:r>
        <w:rPr>
          <w:rFonts w:ascii="Cambria" w:hAnsi="Cambria"/>
          <w:sz w:val="22"/>
        </w:rPr>
        <w:t xml:space="preserve">This category supports direct participant engagement through integrated Christian formation experiences across the Turner Model pathways:</w:t>
      </w:r>
    </w:p>
    <w:p>
      <w:pPr>
        <w:numPr>
          <w:ilvl w:val="0"/>
          <w:numId w:val="1"/>
        </w:numPr>
        <w:spacing w:after="80"/>
      </w:pPr>
      <w:r>
        <w:rPr>
          <w:rFonts w:ascii="Cambria" w:hAnsi="Cambria"/>
          <w:sz w:val="22"/>
        </w:rPr>
        <w:t xml:space="preserve">Christian practices retreats and discernment gatherings</w:t>
      </w:r>
    </w:p>
    <w:p>
      <w:pPr>
        <w:numPr>
          <w:ilvl w:val="0"/>
          <w:numId w:val="1"/>
        </w:numPr>
        <w:spacing w:after="80"/>
      </w:pPr>
      <w:r>
        <w:rPr>
          <w:rFonts w:ascii="Cambria" w:hAnsi="Cambria"/>
          <w:sz w:val="22"/>
        </w:rPr>
        <w:t xml:space="preserve">Jarena Lee Women Leadership Academy (JLWLA) leadership formation experiences</w:t>
      </w:r>
    </w:p>
    <w:p>
      <w:pPr>
        <w:numPr>
          <w:ilvl w:val="0"/>
          <w:numId w:val="1"/>
        </w:numPr>
        <w:spacing w:after="80"/>
      </w:pPr>
      <w:r>
        <w:rPr>
          <w:rFonts w:ascii="Cambria" w:hAnsi="Cambria"/>
          <w:sz w:val="22"/>
        </w:rPr>
        <w:t xml:space="preserve">Turner Leadership Coaching Hub (TLCH) coaching cohorts and reflection circles</w:t>
      </w:r>
    </w:p>
    <w:p>
      <w:pPr>
        <w:numPr>
          <w:ilvl w:val="0"/>
          <w:numId w:val="1"/>
        </w:numPr>
        <w:spacing w:after="80"/>
      </w:pPr>
      <w:r>
        <w:rPr>
          <w:rFonts w:ascii="Cambria" w:hAnsi="Cambria"/>
          <w:sz w:val="22"/>
        </w:rPr>
        <w:t xml:space="preserve">Community listening sessions and worship/sacred arts experiences</w:t>
      </w:r>
    </w:p>
    <w:p>
      <w:pPr>
        <w:numPr>
          <w:ilvl w:val="0"/>
          <w:numId w:val="1"/>
        </w:numPr>
        <w:spacing w:after="80"/>
      </w:pPr>
      <w:r>
        <w:rPr>
          <w:rFonts w:ascii="Cambria" w:hAnsi="Cambria"/>
          <w:sz w:val="22"/>
        </w:rPr>
        <w:t xml:space="preserve">Justice and public witness formation activities (TIPRSS)</w:t>
      </w:r>
    </w:p>
    <w:p>
      <w:pPr>
        <w:numPr>
          <w:ilvl w:val="0"/>
          <w:numId w:val="1"/>
        </w:numPr>
        <w:spacing w:after="80"/>
      </w:pPr>
      <w:r>
        <w:rPr>
          <w:rFonts w:ascii="Cambria" w:hAnsi="Cambria"/>
          <w:sz w:val="22"/>
        </w:rPr>
        <w:t xml:space="preserve">Participant formation materials and leadership workshops</w:t>
      </w:r>
    </w:p>
    <w:p>
      <w:pPr>
        <w:spacing w:before="240" w:after="60"/>
      </w:pPr>
      <w:r>
        <w:rPr>
          <w:rFonts w:ascii="Arial" w:hAnsi="Arial"/>
          <w:color w:val="8a6d18"/>
          <w:sz w:val="16"/>
          <w:b/>
          <w:caps/>
          <w:spacing w:val="60"/>
        </w:rPr>
        <w:t xml:space="preserve">III. Ecclesial &amp; Community Partnerships — $150,000</w:t>
      </w:r>
    </w:p>
    <w:p>
      <w:pPr>
        <w:spacing w:after="120" w:line="300" w:lineRule="auto"/>
      </w:pPr>
      <w:r>
        <w:rPr>
          <w:rFonts w:ascii="Cambria" w:hAnsi="Cambria"/>
          <w:sz w:val="22"/>
        </w:rPr>
        <w:t xml:space="preserve">The initiative expands access to Christian practices through ecclesial, theological, and community-based partnerships. The $150,000 envelope is split approximately 55% to the Sixth Episcopal District AME ($82,500 over five years) and 45% to Salvation and Social Justice ($67,500 over five years). Each partner allocation is further divided between a Partner Stipend paid to the organization (supporting facilitators, regional gatherings, and engagement settings) and Consultant Fees paid to named individuals (covering specific facilitation and coaching).</w:t>
      </w:r>
    </w:p>
    <w:p>
      <w:pPr>
        <w:spacing w:after="120" w:line="300" w:lineRule="auto"/>
      </w:pPr>
      <w:r>
        <w:rPr>
          <w:rFonts w:ascii="Cambria" w:hAnsi="Cambria"/>
          <w:sz w:val="22"/>
        </w:rPr>
        <w:t xml:space="preserve">Partner Engagement Agreements (one to two pages of scope, deliverables, named lead, and dollar amount) will be executed with each partner in lieu of full MOUs, in accordance with Lilly's accepted documentation standard for partners under $250,000 total.</w:t>
      </w:r>
    </w:p>
    <w:p>
      <w:pPr>
        <w:numPr>
          <w:ilvl w:val="0"/>
          <w:numId w:val="1"/>
        </w:numPr>
        <w:spacing w:after="80"/>
      </w:pPr>
      <w:r>
        <w:rPr>
          <w:rFonts w:ascii="Cambria" w:hAnsi="Cambria"/>
          <w:sz w:val="22"/>
        </w:rPr>
        <w:t xml:space="preserve">Sixth Episcopal District AME — clergy engagement, women-in-ministry leadership development, congregational partnerships, and regional formation gatherings</w:t>
      </w:r>
    </w:p>
    <w:p>
      <w:pPr>
        <w:numPr>
          <w:ilvl w:val="0"/>
          <w:numId w:val="1"/>
        </w:numPr>
        <w:spacing w:after="80"/>
      </w:pPr>
      <w:r>
        <w:rPr>
          <w:rFonts w:ascii="Cambria" w:hAnsi="Cambria"/>
          <w:sz w:val="22"/>
        </w:rPr>
        <w:t xml:space="preserve">Salvation and Social Justice — public theology engagement, justice-centered Christian practices, civic engagement workshops, and public witness formation</w:t>
      </w:r>
    </w:p>
    <w:p>
      <w:pPr>
        <w:spacing w:before="240" w:after="60"/>
      </w:pPr>
      <w:r>
        <w:rPr>
          <w:rFonts w:ascii="Arial" w:hAnsi="Arial"/>
          <w:color w:val="8a6d18"/>
          <w:sz w:val="16"/>
          <w:b/>
          <w:caps/>
          <w:spacing w:val="60"/>
        </w:rPr>
        <w:t xml:space="preserve">IV. Sankofa CPE Clinical Formation — $175,000</w:t>
      </w:r>
    </w:p>
    <w:p>
      <w:pPr>
        <w:spacing w:after="120" w:line="300" w:lineRule="auto"/>
      </w:pPr>
      <w:r>
        <w:rPr>
          <w:rFonts w:ascii="Cambria" w:hAnsi="Cambria"/>
          <w:sz w:val="22"/>
        </w:rPr>
        <w:t xml:space="preserve">This category supports practices of care, pastoral presence, spiritual accompaniment, and clinical reflection through the Turner–Sankofa CPE partnership. Sankofa CPE LLC is in formal partnership with Turner; ACPE supervision is the central deliverable.</w:t>
      </w:r>
    </w:p>
    <w:p>
      <w:pPr>
        <w:numPr>
          <w:ilvl w:val="0"/>
          <w:numId w:val="1"/>
        </w:numPr>
        <w:spacing w:after="80"/>
      </w:pPr>
      <w:r>
        <w:rPr>
          <w:rFonts w:ascii="Cambria" w:hAnsi="Cambria"/>
          <w:sz w:val="22"/>
        </w:rPr>
        <w:t xml:space="preserve">ACPE supervision support</w:t>
      </w:r>
    </w:p>
    <w:p>
      <w:pPr>
        <w:numPr>
          <w:ilvl w:val="0"/>
          <w:numId w:val="1"/>
        </w:numPr>
        <w:spacing w:after="80"/>
      </w:pPr>
      <w:r>
        <w:rPr>
          <w:rFonts w:ascii="Cambria" w:hAnsi="Cambria"/>
          <w:sz w:val="22"/>
        </w:rPr>
        <w:t xml:space="preserve">Clinical formation facilitators and spiritual care mentors</w:t>
      </w:r>
    </w:p>
    <w:p>
      <w:pPr>
        <w:numPr>
          <w:ilvl w:val="0"/>
          <w:numId w:val="1"/>
        </w:numPr>
        <w:spacing w:after="80"/>
      </w:pPr>
      <w:r>
        <w:rPr>
          <w:rFonts w:ascii="Cambria" w:hAnsi="Cambria"/>
          <w:sz w:val="22"/>
        </w:rPr>
        <w:t xml:space="preserve">Reflection groups and participant support</w:t>
      </w:r>
    </w:p>
    <w:p>
      <w:pPr>
        <w:numPr>
          <w:ilvl w:val="0"/>
          <w:numId w:val="1"/>
        </w:numPr>
        <w:spacing w:after="80"/>
      </w:pPr>
      <w:r>
        <w:rPr>
          <w:rFonts w:ascii="Cambria" w:hAnsi="Cambria"/>
          <w:sz w:val="22"/>
        </w:rPr>
        <w:t xml:space="preserve">Clinical ministry training resources</w:t>
      </w:r>
    </w:p>
    <w:p>
      <w:pPr>
        <w:spacing w:before="240" w:after="60"/>
      </w:pPr>
      <w:r>
        <w:rPr>
          <w:rFonts w:ascii="Arial" w:hAnsi="Arial"/>
          <w:color w:val="8a6d18"/>
          <w:sz w:val="16"/>
          <w:b/>
          <w:caps/>
          <w:spacing w:val="60"/>
        </w:rPr>
        <w:t xml:space="preserve">V. Communications &amp; Dissemination — $90,000</w:t>
      </w:r>
    </w:p>
    <w:p>
      <w:pPr>
        <w:spacing w:after="120" w:line="300" w:lineRule="auto"/>
      </w:pPr>
      <w:r>
        <w:rPr>
          <w:rFonts w:ascii="Cambria" w:hAnsi="Cambria"/>
          <w:sz w:val="22"/>
        </w:rPr>
        <w:t xml:space="preserve">Communications and dissemination activities support broad engagement with the initiative's insights, practices, and outcomes:</w:t>
      </w:r>
    </w:p>
    <w:p>
      <w:pPr>
        <w:numPr>
          <w:ilvl w:val="0"/>
          <w:numId w:val="1"/>
        </w:numPr>
        <w:spacing w:after="80"/>
      </w:pPr>
      <w:r>
        <w:rPr>
          <w:rFonts w:ascii="Cambria" w:hAnsi="Cambria"/>
          <w:sz w:val="22"/>
        </w:rPr>
        <w:t xml:space="preserve">Digital storytelling and participant narratives</w:t>
      </w:r>
    </w:p>
    <w:p>
      <w:pPr>
        <w:numPr>
          <w:ilvl w:val="0"/>
          <w:numId w:val="1"/>
        </w:numPr>
        <w:spacing w:after="80"/>
      </w:pPr>
      <w:r>
        <w:rPr>
          <w:rFonts w:ascii="Cambria" w:hAnsi="Cambria"/>
          <w:sz w:val="22"/>
        </w:rPr>
        <w:t xml:space="preserve">Website and content development; video documentation; webinar series</w:t>
      </w:r>
    </w:p>
    <w:p>
      <w:pPr>
        <w:numPr>
          <w:ilvl w:val="0"/>
          <w:numId w:val="1"/>
        </w:numPr>
        <w:spacing w:after="80"/>
      </w:pPr>
      <w:r>
        <w:rPr>
          <w:rFonts w:ascii="Cambria" w:hAnsi="Cambria"/>
          <w:sz w:val="22"/>
        </w:rPr>
        <w:t xml:space="preserve">Publications, annual reports, and a replication toolkit</w:t>
      </w:r>
    </w:p>
    <w:p>
      <w:pPr>
        <w:numPr>
          <w:ilvl w:val="0"/>
          <w:numId w:val="1"/>
        </w:numPr>
        <w:spacing w:after="80"/>
      </w:pPr>
      <w:r>
        <w:rPr>
          <w:rFonts w:ascii="Cambria" w:hAnsi="Cambria"/>
          <w:sz w:val="22"/>
        </w:rPr>
        <w:t xml:space="preserve">Podcast and digital media engagement</w:t>
      </w:r>
    </w:p>
    <w:p>
      <w:pPr>
        <w:spacing w:before="240" w:after="60"/>
      </w:pPr>
      <w:r>
        <w:rPr>
          <w:rFonts w:ascii="Arial" w:hAnsi="Arial"/>
          <w:color w:val="8a6d18"/>
          <w:sz w:val="16"/>
          <w:b/>
          <w:caps/>
          <w:spacing w:val="60"/>
        </w:rPr>
        <w:t xml:space="preserve">VI. Evaluation &amp; Learning — $140,000</w:t>
      </w:r>
    </w:p>
    <w:p>
      <w:pPr>
        <w:spacing w:after="120" w:line="300" w:lineRule="auto"/>
      </w:pPr>
      <w:r>
        <w:rPr>
          <w:rFonts w:ascii="Cambria" w:hAnsi="Cambria"/>
          <w:sz w:val="22"/>
        </w:rPr>
        <w:t xml:space="preserve">Evaluation activities support continuous learning, participant outcome tracking, and program improvement:</w:t>
      </w:r>
    </w:p>
    <w:p>
      <w:pPr>
        <w:numPr>
          <w:ilvl w:val="0"/>
          <w:numId w:val="1"/>
        </w:numPr>
        <w:spacing w:after="80"/>
      </w:pPr>
      <w:r>
        <w:rPr>
          <w:rFonts w:ascii="Cambria" w:hAnsi="Cambria"/>
          <w:sz w:val="22"/>
        </w:rPr>
        <w:t xml:space="preserve">External evaluator support</w:t>
      </w:r>
    </w:p>
    <w:p>
      <w:pPr>
        <w:numPr>
          <w:ilvl w:val="0"/>
          <w:numId w:val="1"/>
        </w:numPr>
        <w:spacing w:after="80"/>
      </w:pPr>
      <w:r>
        <w:rPr>
          <w:rFonts w:ascii="Cambria" w:hAnsi="Cambria"/>
          <w:sz w:val="22"/>
        </w:rPr>
        <w:t xml:space="preserve">Participant surveys, interviews, and focus groups</w:t>
      </w:r>
    </w:p>
    <w:p>
      <w:pPr>
        <w:numPr>
          <w:ilvl w:val="0"/>
          <w:numId w:val="1"/>
        </w:numPr>
        <w:spacing w:after="80"/>
      </w:pPr>
      <w:r>
        <w:rPr>
          <w:rFonts w:ascii="Cambria" w:hAnsi="Cambria"/>
          <w:sz w:val="22"/>
        </w:rPr>
        <w:t xml:space="preserve">Assessment dashboards and data systems</w:t>
      </w:r>
    </w:p>
    <w:p>
      <w:pPr>
        <w:numPr>
          <w:ilvl w:val="0"/>
          <w:numId w:val="1"/>
        </w:numPr>
        <w:spacing w:after="80"/>
      </w:pPr>
      <w:r>
        <w:rPr>
          <w:rFonts w:ascii="Cambria" w:hAnsi="Cambria"/>
          <w:sz w:val="22"/>
        </w:rPr>
        <w:t xml:space="preserve">Midpoint and final evaluations; annual learning reports</w:t>
      </w:r>
    </w:p>
    <w:p>
      <w:pPr>
        <w:spacing w:before="240" w:after="60"/>
      </w:pPr>
      <w:r>
        <w:rPr>
          <w:rFonts w:ascii="Arial" w:hAnsi="Arial"/>
          <w:color w:val="8a6d18"/>
          <w:sz w:val="16"/>
          <w:b/>
          <w:caps/>
          <w:spacing w:val="60"/>
        </w:rPr>
        <w:t xml:space="preserve">VII. Sustainability &amp; Replication — $110,000</w:t>
      </w:r>
    </w:p>
    <w:p>
      <w:pPr>
        <w:spacing w:after="120" w:line="300" w:lineRule="auto"/>
      </w:pPr>
      <w:r>
        <w:rPr>
          <w:rFonts w:ascii="Cambria" w:hAnsi="Cambria"/>
          <w:sz w:val="22"/>
        </w:rPr>
        <w:t xml:space="preserve">Turner is committed to sustaining and institutionalizing the initiative beyond the grant period:</w:t>
      </w:r>
    </w:p>
    <w:p>
      <w:pPr>
        <w:numPr>
          <w:ilvl w:val="0"/>
          <w:numId w:val="1"/>
        </w:numPr>
        <w:spacing w:after="80"/>
      </w:pPr>
      <w:r>
        <w:rPr>
          <w:rFonts w:ascii="Cambria" w:hAnsi="Cambria"/>
          <w:sz w:val="22"/>
        </w:rPr>
        <w:t xml:space="preserve">Advancement and donor cultivation activities</w:t>
      </w:r>
    </w:p>
    <w:p>
      <w:pPr>
        <w:numPr>
          <w:ilvl w:val="0"/>
          <w:numId w:val="1"/>
        </w:numPr>
        <w:spacing w:after="80"/>
      </w:pPr>
      <w:r>
        <w:rPr>
          <w:rFonts w:ascii="Cambria" w:hAnsi="Cambria"/>
          <w:sz w:val="22"/>
        </w:rPr>
        <w:t xml:space="preserve">Major gift and partnership development</w:t>
      </w:r>
    </w:p>
    <w:p>
      <w:pPr>
        <w:numPr>
          <w:ilvl w:val="0"/>
          <w:numId w:val="1"/>
        </w:numPr>
        <w:spacing w:after="80"/>
      </w:pPr>
      <w:r>
        <w:rPr>
          <w:rFonts w:ascii="Cambria" w:hAnsi="Cambria"/>
          <w:sz w:val="22"/>
        </w:rPr>
        <w:t xml:space="preserve">Board engagement and strategic planning</w:t>
      </w:r>
    </w:p>
    <w:p>
      <w:pPr>
        <w:numPr>
          <w:ilvl w:val="0"/>
          <w:numId w:val="1"/>
        </w:numPr>
        <w:spacing w:after="80"/>
      </w:pPr>
      <w:r>
        <w:rPr>
          <w:rFonts w:ascii="Cambria" w:hAnsi="Cambria"/>
          <w:sz w:val="22"/>
        </w:rPr>
        <w:t xml:space="preserve">Replication and institutionalization planning</w:t>
      </w:r>
    </w:p>
    <w:p>
      <w:pPr>
        <w:numPr>
          <w:ilvl w:val="0"/>
          <w:numId w:val="1"/>
        </w:numPr>
        <w:spacing w:after="80"/>
      </w:pPr>
      <w:r>
        <w:rPr>
          <w:rFonts w:ascii="Cambria" w:hAnsi="Cambria"/>
          <w:sz w:val="22"/>
        </w:rPr>
        <w:t xml:space="preserve">Long-term sustainability infrastructure</w:t>
      </w:r>
    </w:p>
    <w:p>
      <w:pPr>
        <w:spacing w:before="240" w:after="60"/>
      </w:pPr>
      <w:r>
        <w:rPr>
          <w:rFonts w:ascii="Arial" w:hAnsi="Arial"/>
          <w:color w:val="8a6d18"/>
          <w:sz w:val="16"/>
          <w:b/>
          <w:caps/>
          <w:spacing w:val="60"/>
        </w:rPr>
        <w:t xml:space="preserve">VIII. Technology &amp; Hybrid Infrastructure — $85,000</w:t>
      </w:r>
    </w:p>
    <w:p>
      <w:pPr>
        <w:spacing w:after="120" w:line="300" w:lineRule="auto"/>
      </w:pPr>
      <w:r>
        <w:rPr>
          <w:rFonts w:ascii="Cambria" w:hAnsi="Cambria"/>
          <w:sz w:val="22"/>
        </w:rPr>
        <w:t xml:space="preserve">Technology investments support hybrid learning, digital formation, and participant access:</w:t>
      </w:r>
    </w:p>
    <w:p>
      <w:pPr>
        <w:numPr>
          <w:ilvl w:val="0"/>
          <w:numId w:val="1"/>
        </w:numPr>
        <w:spacing w:after="80"/>
      </w:pPr>
      <w:r>
        <w:rPr>
          <w:rFonts w:ascii="Cambria" w:hAnsi="Cambria"/>
          <w:sz w:val="22"/>
        </w:rPr>
        <w:t xml:space="preserve">Learning Management System support</w:t>
      </w:r>
    </w:p>
    <w:p>
      <w:pPr>
        <w:numPr>
          <w:ilvl w:val="0"/>
          <w:numId w:val="1"/>
        </w:numPr>
        <w:spacing w:after="80"/>
      </w:pPr>
      <w:r>
        <w:rPr>
          <w:rFonts w:ascii="Cambria" w:hAnsi="Cambria"/>
          <w:sz w:val="22"/>
        </w:rPr>
        <w:t xml:space="preserve">Hybrid learning and webinar infrastructure</w:t>
      </w:r>
    </w:p>
    <w:p>
      <w:pPr>
        <w:numPr>
          <w:ilvl w:val="0"/>
          <w:numId w:val="1"/>
        </w:numPr>
        <w:spacing w:after="80"/>
      </w:pPr>
      <w:r>
        <w:rPr>
          <w:rFonts w:ascii="Cambria" w:hAnsi="Cambria"/>
          <w:sz w:val="22"/>
        </w:rPr>
        <w:t xml:space="preserve">Digital resource libraries; streaming and recording technology</w:t>
      </w:r>
    </w:p>
    <w:p>
      <w:pPr>
        <w:numPr>
          <w:ilvl w:val="0"/>
          <w:numId w:val="1"/>
        </w:numPr>
        <w:spacing w:after="80"/>
      </w:pPr>
      <w:r>
        <w:rPr>
          <w:rFonts w:ascii="Cambria" w:hAnsi="Cambria"/>
          <w:sz w:val="22"/>
        </w:rPr>
        <w:t xml:space="preserve">Participant access technology and online platforms</w:t>
      </w:r>
    </w:p>
    <w:p>
      <w:pPr>
        <w:spacing w:before="240" w:after="60"/>
      </w:pPr>
      <w:r>
        <w:rPr>
          <w:rFonts w:ascii="Arial" w:hAnsi="Arial"/>
          <w:color w:val="8a6d18"/>
          <w:sz w:val="16"/>
          <w:b/>
          <w:caps/>
          <w:spacing w:val="60"/>
        </w:rPr>
        <w:t xml:space="preserve">IX. Fellows &amp; Emerging Leaders — $90,000</w:t>
      </w:r>
    </w:p>
    <w:p>
      <w:pPr>
        <w:spacing w:after="120" w:line="300" w:lineRule="auto"/>
      </w:pPr>
      <w:r>
        <w:rPr>
          <w:rFonts w:ascii="Cambria" w:hAnsi="Cambria"/>
          <w:sz w:val="22"/>
        </w:rPr>
        <w:t xml:space="preserve">This category supports leadership pipeline development and intergenerational ministry formation. Fellow tracks include Graduate Ministry, Christian Practices, Research &amp; Evaluation, Digital Media, Community Engagement, Worship &amp; Retreat, and Public Theology.</w:t>
      </w:r>
    </w:p>
    <w:p>
      <w:pPr>
        <w:spacing w:before="240" w:after="60"/>
      </w:pPr>
      <w:r>
        <w:rPr>
          <w:rFonts w:ascii="Arial" w:hAnsi="Arial"/>
          <w:color w:val="8a6d18"/>
          <w:sz w:val="16"/>
          <w:b/>
          <w:caps/>
          <w:spacing w:val="60"/>
        </w:rPr>
        <w:t xml:space="preserve">X. Indirect Costs — $140,000 (6% of Direct Costs)</w:t>
      </w:r>
    </w:p>
    <w:p>
      <w:pPr>
        <w:spacing w:after="120" w:line="300" w:lineRule="auto"/>
      </w:pPr>
      <w:r>
        <w:rPr>
          <w:rFonts w:ascii="Cambria" w:hAnsi="Cambria"/>
          <w:sz w:val="22"/>
        </w:rPr>
        <w:t xml:space="preserve">Turner Theological Seminary requests indirect costs at a flat 6% of direct costs each year, well within Lilly Endowment guidelines and below the 10% cap. Indirect costs support grant accounting, financial monitoring, human resources support, compliance oversight, institutional technology infrastructure, legal and administrative support, and facilities administration. Turner has no federally negotiated indirect cost rate agreement at present and applies this rate under Lilly's posture for first-time federally known entities.</w:t>
      </w:r>
    </w:p>
    <w:p>
      <w:pPr>
        <w:spacing w:before="240" w:after="60"/>
      </w:pPr>
      <w:r>
        <w:rPr>
          <w:rFonts w:ascii="Arial" w:hAnsi="Arial"/>
          <w:color w:val="8a6d18"/>
          <w:sz w:val="16"/>
          <w:b/>
          <w:caps/>
          <w:spacing w:val="60"/>
        </w:rPr>
        <w:t xml:space="preserve">Five-Year Budget Summary</w:t>
      </w:r>
    </w:p>
    <w:tbl>
      <w:tblPr>
        <w:tblW w:w="9700" w:type="dxa"/>
        <w:tblBorders>
          <w:top w:val="single" w:sz="4" w:color="5A2D91"/>
          <w:left w:val="none" w:sz="0" w:color="auto"/>
          <w:bottom w:val="single" w:sz="4" w:color="5A2D91"/>
          <w:right w:val="none" w:sz="0" w:color="auto"/>
          <w:insideH w:val="single" w:sz="2" w:color="d8d3c5"/>
          <w:insideV w:val="none" w:sz="0" w:color="auto"/>
        </w:tblBorders>
      </w:tblPr>
      <w:tblGrid>
        <w:gridCol w:w="2900"/>
        <w:gridCol w:w="1100"/>
        <w:gridCol w:w="1100"/>
        <w:gridCol w:w="1100"/>
        <w:gridCol w:w="1100"/>
        <w:gridCol w:w="1100"/>
        <w:gridCol w:w="1300"/>
      </w:tblGrid>
      <w:tr>
        <w:tc>
          <w:tcPr>
            <w:tcW w:w="2900" w:type="dxa"/>
            <w:shd w:val="clear" w:color="auto" w:fill="5A2D91"/>
            <w:tcMar>
              <w:top w:w="80" w:type="dxa"/>
              <w:bottom w:w="80" w:type="dxa"/>
              <w:left w:w="100" w:type="dxa"/>
              <w:right w:w="100" w:type="dxa"/>
            </w:tcMar>
          </w:tcPr>
          <w:p>
            <w:pPr>
              <w:jc w:val="left"/>
            </w:pPr>
            <w:r>
              <w:rPr>
                <w:rFonts w:ascii="Arial" w:hAnsi="Arial"/>
                <w:sz w:val="18"/>
                <w:color w:val="FFFFFF"/>
                <w:b/>
                <w:caps/>
                <w:spacing w:val="40"/>
              </w:rPr>
              <w:t xml:space="preserve">Category</w:t>
            </w:r>
          </w:p>
        </w:tc>
        <w:tc>
          <w:tcPr>
            <w:tcW w:w="1100" w:type="dxa"/>
            <w:shd w:val="clear" w:color="auto" w:fill="5A2D91"/>
            <w:tcMar>
              <w:top w:w="80" w:type="dxa"/>
              <w:bottom w:w="80" w:type="dxa"/>
              <w:left w:w="100" w:type="dxa"/>
              <w:right w:w="100" w:type="dxa"/>
            </w:tcMar>
          </w:tcPr>
          <w:p>
            <w:pPr>
              <w:jc w:val="right"/>
            </w:pPr>
            <w:r>
              <w:rPr>
                <w:rFonts w:ascii="Arial" w:hAnsi="Arial"/>
                <w:sz w:val="18"/>
                <w:color w:val="FFFFFF"/>
                <w:b/>
                <w:caps/>
                <w:spacing w:val="40"/>
              </w:rPr>
              <w:t xml:space="preserve">2026</w:t>
            </w:r>
          </w:p>
        </w:tc>
        <w:tc>
          <w:tcPr>
            <w:tcW w:w="1100" w:type="dxa"/>
            <w:shd w:val="clear" w:color="auto" w:fill="5A2D91"/>
            <w:tcMar>
              <w:top w:w="80" w:type="dxa"/>
              <w:bottom w:w="80" w:type="dxa"/>
              <w:left w:w="100" w:type="dxa"/>
              <w:right w:w="100" w:type="dxa"/>
            </w:tcMar>
          </w:tcPr>
          <w:p>
            <w:pPr>
              <w:jc w:val="right"/>
            </w:pPr>
            <w:r>
              <w:rPr>
                <w:rFonts w:ascii="Arial" w:hAnsi="Arial"/>
                <w:sz w:val="18"/>
                <w:color w:val="FFFFFF"/>
                <w:b/>
                <w:caps/>
                <w:spacing w:val="40"/>
              </w:rPr>
              <w:t xml:space="preserve">2027</w:t>
            </w:r>
          </w:p>
        </w:tc>
        <w:tc>
          <w:tcPr>
            <w:tcW w:w="1100" w:type="dxa"/>
            <w:shd w:val="clear" w:color="auto" w:fill="5A2D91"/>
            <w:tcMar>
              <w:top w:w="80" w:type="dxa"/>
              <w:bottom w:w="80" w:type="dxa"/>
              <w:left w:w="100" w:type="dxa"/>
              <w:right w:w="100" w:type="dxa"/>
            </w:tcMar>
          </w:tcPr>
          <w:p>
            <w:pPr>
              <w:jc w:val="right"/>
            </w:pPr>
            <w:r>
              <w:rPr>
                <w:rFonts w:ascii="Arial" w:hAnsi="Arial"/>
                <w:sz w:val="18"/>
                <w:color w:val="FFFFFF"/>
                <w:b/>
                <w:caps/>
                <w:spacing w:val="40"/>
              </w:rPr>
              <w:t xml:space="preserve">2028</w:t>
            </w:r>
          </w:p>
        </w:tc>
        <w:tc>
          <w:tcPr>
            <w:tcW w:w="1100" w:type="dxa"/>
            <w:shd w:val="clear" w:color="auto" w:fill="5A2D91"/>
            <w:tcMar>
              <w:top w:w="80" w:type="dxa"/>
              <w:bottom w:w="80" w:type="dxa"/>
              <w:left w:w="100" w:type="dxa"/>
              <w:right w:w="100" w:type="dxa"/>
            </w:tcMar>
          </w:tcPr>
          <w:p>
            <w:pPr>
              <w:jc w:val="right"/>
            </w:pPr>
            <w:r>
              <w:rPr>
                <w:rFonts w:ascii="Arial" w:hAnsi="Arial"/>
                <w:sz w:val="18"/>
                <w:color w:val="FFFFFF"/>
                <w:b/>
                <w:caps/>
                <w:spacing w:val="40"/>
              </w:rPr>
              <w:t xml:space="preserve">2029</w:t>
            </w:r>
          </w:p>
        </w:tc>
        <w:tc>
          <w:tcPr>
            <w:tcW w:w="1100" w:type="dxa"/>
            <w:shd w:val="clear" w:color="auto" w:fill="5A2D91"/>
            <w:tcMar>
              <w:top w:w="80" w:type="dxa"/>
              <w:bottom w:w="80" w:type="dxa"/>
              <w:left w:w="100" w:type="dxa"/>
              <w:right w:w="100" w:type="dxa"/>
            </w:tcMar>
          </w:tcPr>
          <w:p>
            <w:pPr>
              <w:jc w:val="right"/>
            </w:pPr>
            <w:r>
              <w:rPr>
                <w:rFonts w:ascii="Arial" w:hAnsi="Arial"/>
                <w:sz w:val="18"/>
                <w:color w:val="FFFFFF"/>
                <w:b/>
                <w:caps/>
                <w:spacing w:val="40"/>
              </w:rPr>
              <w:t xml:space="preserve">2030</w:t>
            </w:r>
          </w:p>
        </w:tc>
        <w:tc>
          <w:tcPr>
            <w:tcW w:w="1300" w:type="dxa"/>
            <w:shd w:val="clear" w:color="auto" w:fill="5A2D91"/>
            <w:tcMar>
              <w:top w:w="80" w:type="dxa"/>
              <w:bottom w:w="80" w:type="dxa"/>
              <w:left w:w="100" w:type="dxa"/>
              <w:right w:w="100" w:type="dxa"/>
            </w:tcMar>
          </w:tcPr>
          <w:p>
            <w:pPr>
              <w:jc w:val="right"/>
            </w:pPr>
            <w:r>
              <w:rPr>
                <w:rFonts w:ascii="Arial" w:hAnsi="Arial"/>
                <w:sz w:val="18"/>
                <w:color w:val="FFFFFF"/>
                <w:b/>
                <w:caps/>
                <w:spacing w:val="40"/>
              </w:rPr>
              <w:t xml:space="preserve">Total</w:t>
            </w:r>
          </w:p>
        </w:tc>
      </w:tr>
      <w:tr>
        <w:tc>
          <w:tcPr>
            <w:tcW w:w="2900" w:type="dxa"/>
            <w:tcMar>
              <w:top w:w="80" w:type="dxa"/>
              <w:bottom w:w="80" w:type="dxa"/>
              <w:left w:w="100" w:type="dxa"/>
              <w:right w:w="100" w:type="dxa"/>
            </w:tcMar>
          </w:tcPr>
          <w:p>
            <w:pPr>
              <w:jc w:val="left"/>
            </w:pPr>
            <w:r>
              <w:rPr>
                <w:rFonts w:ascii="Cambria" w:hAnsi="Cambria"/>
                <w:sz w:val="20"/>
                <w:color w:val="1c1422"/>
              </w:rPr>
              <w:t xml:space="preserve">Personnel (Salaries)</w:t>
            </w:r>
          </w:p>
        </w:tc>
        <w:tc>
          <w:tcPr>
            <w:tcW w:w="1100" w:type="dxa"/>
            <w:tcMar>
              <w:top w:w="80" w:type="dxa"/>
              <w:bottom w:w="80" w:type="dxa"/>
              <w:left w:w="100" w:type="dxa"/>
              <w:right w:w="100" w:type="dxa"/>
            </w:tcMar>
          </w:tcPr>
          <w:p>
            <w:pPr>
              <w:jc w:val="right"/>
            </w:pPr>
            <w:r>
              <w:rPr>
                <w:rFonts w:ascii="Cambria" w:hAnsi="Cambria"/>
                <w:sz w:val="20"/>
                <w:color w:val="1c1422"/>
              </w:rPr>
              <w:t xml:space="preserve">$180,000</w:t>
            </w:r>
          </w:p>
        </w:tc>
        <w:tc>
          <w:tcPr>
            <w:tcW w:w="1100" w:type="dxa"/>
            <w:tcMar>
              <w:top w:w="80" w:type="dxa"/>
              <w:bottom w:w="80" w:type="dxa"/>
              <w:left w:w="100" w:type="dxa"/>
              <w:right w:w="100" w:type="dxa"/>
            </w:tcMar>
          </w:tcPr>
          <w:p>
            <w:pPr>
              <w:jc w:val="right"/>
            </w:pPr>
            <w:r>
              <w:rPr>
                <w:rFonts w:ascii="Cambria" w:hAnsi="Cambria"/>
                <w:sz w:val="20"/>
                <w:color w:val="1c1422"/>
              </w:rPr>
              <w:t xml:space="preserve">$185,000</w:t>
            </w:r>
          </w:p>
        </w:tc>
        <w:tc>
          <w:tcPr>
            <w:tcW w:w="1100" w:type="dxa"/>
            <w:tcMar>
              <w:top w:w="80" w:type="dxa"/>
              <w:bottom w:w="80" w:type="dxa"/>
              <w:left w:w="100" w:type="dxa"/>
              <w:right w:w="100" w:type="dxa"/>
            </w:tcMar>
          </w:tcPr>
          <w:p>
            <w:pPr>
              <w:jc w:val="right"/>
            </w:pPr>
            <w:r>
              <w:rPr>
                <w:rFonts w:ascii="Cambria" w:hAnsi="Cambria"/>
                <w:sz w:val="20"/>
                <w:color w:val="1c1422"/>
              </w:rPr>
              <w:t xml:space="preserve">$175,000</w:t>
            </w:r>
          </w:p>
        </w:tc>
        <w:tc>
          <w:tcPr>
            <w:tcW w:w="1100" w:type="dxa"/>
            <w:tcMar>
              <w:top w:w="80" w:type="dxa"/>
              <w:bottom w:w="80" w:type="dxa"/>
              <w:left w:w="100" w:type="dxa"/>
              <w:right w:w="100" w:type="dxa"/>
            </w:tcMar>
          </w:tcPr>
          <w:p>
            <w:pPr>
              <w:jc w:val="right"/>
            </w:pPr>
            <w:r>
              <w:rPr>
                <w:rFonts w:ascii="Cambria" w:hAnsi="Cambria"/>
                <w:sz w:val="20"/>
                <w:color w:val="1c1422"/>
              </w:rPr>
              <w:t xml:space="preserve">$160,000</w:t>
            </w:r>
          </w:p>
        </w:tc>
        <w:tc>
          <w:tcPr>
            <w:tcW w:w="1100" w:type="dxa"/>
            <w:tcMar>
              <w:top w:w="80" w:type="dxa"/>
              <w:bottom w:w="80" w:type="dxa"/>
              <w:left w:w="100" w:type="dxa"/>
              <w:right w:w="100" w:type="dxa"/>
            </w:tcMar>
          </w:tcPr>
          <w:p>
            <w:pPr>
              <w:jc w:val="right"/>
            </w:pPr>
            <w:r>
              <w:rPr>
                <w:rFonts w:ascii="Cambria" w:hAnsi="Cambria"/>
                <w:sz w:val="20"/>
                <w:color w:val="1c1422"/>
              </w:rPr>
              <w:t xml:space="preserve">$150,000</w:t>
            </w:r>
          </w:p>
        </w:tc>
        <w:tc>
          <w:tcPr>
            <w:tcW w:w="1300" w:type="dxa"/>
            <w:tcMar>
              <w:top w:w="80" w:type="dxa"/>
              <w:bottom w:w="80" w:type="dxa"/>
              <w:left w:w="100" w:type="dxa"/>
              <w:right w:w="100" w:type="dxa"/>
            </w:tcMar>
          </w:tcPr>
          <w:p>
            <w:pPr>
              <w:jc w:val="right"/>
            </w:pPr>
            <w:r>
              <w:rPr>
                <w:rFonts w:ascii="Cambria" w:hAnsi="Cambria"/>
                <w:sz w:val="20"/>
                <w:color w:val="1c1422"/>
              </w:rPr>
              <w:t xml:space="preserve">$850,000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Fringe Benefits (20%)</w:t>
            </w:r>
          </w:p>
        </w:tc>
        <w:tc>
          <w:tcPr>
            <w:tcW w:w="1100" w:type="dxa"/>
            <w:tcMar>
              <w:top w:w="80" w:type="dxa"/>
              <w:bottom w:w="80" w:type="dxa"/>
              <w:left w:w="100" w:type="dxa"/>
              <w:right w:w="100" w:type="dxa"/>
            </w:tcMar>
          </w:tcPr>
          <w:p>
            <w:pPr>
              <w:jc w:val="right"/>
            </w:pPr>
            <w:r>
              <w:rPr>
                <w:rFonts w:ascii="Cambria" w:hAnsi="Cambria"/>
                <w:sz w:val="20"/>
                <w:color w:val="1c1422"/>
              </w:rPr>
              <w:t xml:space="preserve">$36,000</w:t>
            </w:r>
          </w:p>
        </w:tc>
        <w:tc>
          <w:tcPr>
            <w:tcW w:w="1100" w:type="dxa"/>
            <w:tcMar>
              <w:top w:w="80" w:type="dxa"/>
              <w:bottom w:w="80" w:type="dxa"/>
              <w:left w:w="100" w:type="dxa"/>
              <w:right w:w="100" w:type="dxa"/>
            </w:tcMar>
          </w:tcPr>
          <w:p>
            <w:pPr>
              <w:jc w:val="right"/>
            </w:pPr>
            <w:r>
              <w:rPr>
                <w:rFonts w:ascii="Cambria" w:hAnsi="Cambria"/>
                <w:sz w:val="20"/>
                <w:color w:val="1c1422"/>
              </w:rPr>
              <w:t xml:space="preserve">$37,000</w:t>
            </w:r>
          </w:p>
        </w:tc>
        <w:tc>
          <w:tcPr>
            <w:tcW w:w="1100" w:type="dxa"/>
            <w:tcMar>
              <w:top w:w="80" w:type="dxa"/>
              <w:bottom w:w="80" w:type="dxa"/>
              <w:left w:w="100" w:type="dxa"/>
              <w:right w:w="100" w:type="dxa"/>
            </w:tcMar>
          </w:tcPr>
          <w:p>
            <w:pPr>
              <w:jc w:val="right"/>
            </w:pPr>
            <w:r>
              <w:rPr>
                <w:rFonts w:ascii="Cambria" w:hAnsi="Cambria"/>
                <w:sz w:val="20"/>
                <w:color w:val="1c1422"/>
              </w:rPr>
              <w:t xml:space="preserve">$35,000</w:t>
            </w:r>
          </w:p>
        </w:tc>
        <w:tc>
          <w:tcPr>
            <w:tcW w:w="1100" w:type="dxa"/>
            <w:tcMar>
              <w:top w:w="80" w:type="dxa"/>
              <w:bottom w:w="80" w:type="dxa"/>
              <w:left w:w="100" w:type="dxa"/>
              <w:right w:w="100" w:type="dxa"/>
            </w:tcMar>
          </w:tcPr>
          <w:p>
            <w:pPr>
              <w:jc w:val="right"/>
            </w:pPr>
            <w:r>
              <w:rPr>
                <w:rFonts w:ascii="Cambria" w:hAnsi="Cambria"/>
                <w:sz w:val="20"/>
                <w:color w:val="1c1422"/>
              </w:rPr>
              <w:t xml:space="preserve">$32,000</w:t>
            </w:r>
          </w:p>
        </w:tc>
        <w:tc>
          <w:tcPr>
            <w:tcW w:w="1100" w:type="dxa"/>
            <w:tcMar>
              <w:top w:w="80" w:type="dxa"/>
              <w:bottom w:w="80" w:type="dxa"/>
              <w:left w:w="100" w:type="dxa"/>
              <w:right w:w="100" w:type="dxa"/>
            </w:tcMar>
          </w:tcPr>
          <w:p>
            <w:pPr>
              <w:jc w:val="right"/>
            </w:pPr>
            <w:r>
              <w:rPr>
                <w:rFonts w:ascii="Cambria" w:hAnsi="Cambria"/>
                <w:sz w:val="20"/>
                <w:color w:val="1c1422"/>
              </w:rPr>
              <w:t xml:space="preserve">$30,000</w:t>
            </w:r>
          </w:p>
        </w:tc>
        <w:tc>
          <w:tcPr>
            <w:tcW w:w="1300" w:type="dxa"/>
            <w:tcMar>
              <w:top w:w="80" w:type="dxa"/>
              <w:bottom w:w="80" w:type="dxa"/>
              <w:left w:w="100" w:type="dxa"/>
              <w:right w:w="100" w:type="dxa"/>
            </w:tcMar>
          </w:tcPr>
          <w:p>
            <w:pPr>
              <w:jc w:val="right"/>
            </w:pPr>
            <w:r>
              <w:rPr>
                <w:rFonts w:ascii="Cambria" w:hAnsi="Cambria"/>
                <w:sz w:val="20"/>
                <w:color w:val="1c1422"/>
              </w:rPr>
              <w:t xml:space="preserve">$170,000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Christian Practices &amp; Formation</w:t>
            </w:r>
          </w:p>
        </w:tc>
        <w:tc>
          <w:tcPr>
            <w:tcW w:w="1100" w:type="dxa"/>
            <w:tcMar>
              <w:top w:w="80" w:type="dxa"/>
              <w:bottom w:w="80" w:type="dxa"/>
              <w:left w:w="100" w:type="dxa"/>
              <w:right w:w="100" w:type="dxa"/>
            </w:tcMar>
          </w:tcPr>
          <w:p>
            <w:pPr>
              <w:jc w:val="right"/>
            </w:pPr>
            <w:r>
              <w:rPr>
                <w:rFonts w:ascii="Cambria" w:hAnsi="Cambria"/>
                <w:sz w:val="20"/>
                <w:color w:val="1c1422"/>
              </w:rPr>
              <w:t xml:space="preserve">$105,000</w:t>
            </w:r>
          </w:p>
        </w:tc>
        <w:tc>
          <w:tcPr>
            <w:tcW w:w="1100" w:type="dxa"/>
            <w:tcMar>
              <w:top w:w="80" w:type="dxa"/>
              <w:bottom w:w="80" w:type="dxa"/>
              <w:left w:w="100" w:type="dxa"/>
              <w:right w:w="100" w:type="dxa"/>
            </w:tcMar>
          </w:tcPr>
          <w:p>
            <w:pPr>
              <w:jc w:val="right"/>
            </w:pPr>
            <w:r>
              <w:rPr>
                <w:rFonts w:ascii="Cambria" w:hAnsi="Cambria"/>
                <w:sz w:val="20"/>
                <w:color w:val="1c1422"/>
              </w:rPr>
              <w:t xml:space="preserve">$105,000</w:t>
            </w:r>
          </w:p>
        </w:tc>
        <w:tc>
          <w:tcPr>
            <w:tcW w:w="1100" w:type="dxa"/>
            <w:tcMar>
              <w:top w:w="80" w:type="dxa"/>
              <w:bottom w:w="80" w:type="dxa"/>
              <w:left w:w="100" w:type="dxa"/>
              <w:right w:w="100" w:type="dxa"/>
            </w:tcMar>
          </w:tcPr>
          <w:p>
            <w:pPr>
              <w:jc w:val="right"/>
            </w:pPr>
            <w:r>
              <w:rPr>
                <w:rFonts w:ascii="Cambria" w:hAnsi="Cambria"/>
                <w:sz w:val="20"/>
                <w:color w:val="1c1422"/>
              </w:rPr>
              <w:t xml:space="preserve">$100,000</w:t>
            </w:r>
          </w:p>
        </w:tc>
        <w:tc>
          <w:tcPr>
            <w:tcW w:w="1100" w:type="dxa"/>
            <w:tcMar>
              <w:top w:w="80" w:type="dxa"/>
              <w:bottom w:w="80" w:type="dxa"/>
              <w:left w:w="100" w:type="dxa"/>
              <w:right w:w="100" w:type="dxa"/>
            </w:tcMar>
          </w:tcPr>
          <w:p>
            <w:pPr>
              <w:jc w:val="right"/>
            </w:pPr>
            <w:r>
              <w:rPr>
                <w:rFonts w:ascii="Cambria" w:hAnsi="Cambria"/>
                <w:sz w:val="20"/>
                <w:color w:val="1c1422"/>
              </w:rPr>
              <w:t xml:space="preserve">$95,000</w:t>
            </w:r>
          </w:p>
        </w:tc>
        <w:tc>
          <w:tcPr>
            <w:tcW w:w="1100" w:type="dxa"/>
            <w:tcMar>
              <w:top w:w="80" w:type="dxa"/>
              <w:bottom w:w="80" w:type="dxa"/>
              <w:left w:w="100" w:type="dxa"/>
              <w:right w:w="100" w:type="dxa"/>
            </w:tcMar>
          </w:tcPr>
          <w:p>
            <w:pPr>
              <w:jc w:val="right"/>
            </w:pPr>
            <w:r>
              <w:rPr>
                <w:rFonts w:ascii="Cambria" w:hAnsi="Cambria"/>
                <w:sz w:val="20"/>
                <w:color w:val="1c1422"/>
              </w:rPr>
              <w:t xml:space="preserve">$95,000</w:t>
            </w:r>
          </w:p>
        </w:tc>
        <w:tc>
          <w:tcPr>
            <w:tcW w:w="1300" w:type="dxa"/>
            <w:tcMar>
              <w:top w:w="80" w:type="dxa"/>
              <w:bottom w:w="80" w:type="dxa"/>
              <w:left w:w="100" w:type="dxa"/>
              <w:right w:w="100" w:type="dxa"/>
            </w:tcMar>
          </w:tcPr>
          <w:p>
            <w:pPr>
              <w:jc w:val="right"/>
            </w:pPr>
            <w:r>
              <w:rPr>
                <w:rFonts w:ascii="Cambria" w:hAnsi="Cambria"/>
                <w:sz w:val="20"/>
                <w:color w:val="1c1422"/>
              </w:rPr>
              <w:t xml:space="preserve">$500,000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Ecclesial &amp; Community Partnerships</w:t>
            </w:r>
          </w:p>
        </w:tc>
        <w:tc>
          <w:tcPr>
            <w:tcW w:w="1100" w:type="dxa"/>
            <w:tcMar>
              <w:top w:w="80" w:type="dxa"/>
              <w:bottom w:w="80" w:type="dxa"/>
              <w:left w:w="100" w:type="dxa"/>
              <w:right w:w="100" w:type="dxa"/>
            </w:tcMar>
          </w:tcPr>
          <w:p>
            <w:pPr>
              <w:jc w:val="right"/>
            </w:pPr>
            <w:r>
              <w:rPr>
                <w:rFonts w:ascii="Cambria" w:hAnsi="Cambria"/>
                <w:sz w:val="20"/>
                <w:color w:val="1c1422"/>
              </w:rPr>
              <w:t xml:space="preserve">$28,000</w:t>
            </w:r>
          </w:p>
        </w:tc>
        <w:tc>
          <w:tcPr>
            <w:tcW w:w="1100" w:type="dxa"/>
            <w:tcMar>
              <w:top w:w="80" w:type="dxa"/>
              <w:bottom w:w="80" w:type="dxa"/>
              <w:left w:w="100" w:type="dxa"/>
              <w:right w:w="100" w:type="dxa"/>
            </w:tcMar>
          </w:tcPr>
          <w:p>
            <w:pPr>
              <w:jc w:val="right"/>
            </w:pPr>
            <w:r>
              <w:rPr>
                <w:rFonts w:ascii="Cambria" w:hAnsi="Cambria"/>
                <w:sz w:val="20"/>
                <w:color w:val="1c1422"/>
              </w:rPr>
              <w:t xml:space="preserve">$30,000</w:t>
            </w:r>
          </w:p>
        </w:tc>
        <w:tc>
          <w:tcPr>
            <w:tcW w:w="1100" w:type="dxa"/>
            <w:tcMar>
              <w:top w:w="80" w:type="dxa"/>
              <w:bottom w:w="80" w:type="dxa"/>
              <w:left w:w="100" w:type="dxa"/>
              <w:right w:w="100" w:type="dxa"/>
            </w:tcMar>
          </w:tcPr>
          <w:p>
            <w:pPr>
              <w:jc w:val="right"/>
            </w:pPr>
            <w:r>
              <w:rPr>
                <w:rFonts w:ascii="Cambria" w:hAnsi="Cambria"/>
                <w:sz w:val="20"/>
                <w:color w:val="1c1422"/>
              </w:rPr>
              <w:t xml:space="preserve">$32,000</w:t>
            </w:r>
          </w:p>
        </w:tc>
        <w:tc>
          <w:tcPr>
            <w:tcW w:w="1100" w:type="dxa"/>
            <w:tcMar>
              <w:top w:w="80" w:type="dxa"/>
              <w:bottom w:w="80" w:type="dxa"/>
              <w:left w:w="100" w:type="dxa"/>
              <w:right w:w="100" w:type="dxa"/>
            </w:tcMar>
          </w:tcPr>
          <w:p>
            <w:pPr>
              <w:jc w:val="right"/>
            </w:pPr>
            <w:r>
              <w:rPr>
                <w:rFonts w:ascii="Cambria" w:hAnsi="Cambria"/>
                <w:sz w:val="20"/>
                <w:color w:val="1c1422"/>
              </w:rPr>
              <w:t xml:space="preserve">$32,000</w:t>
            </w:r>
          </w:p>
        </w:tc>
        <w:tc>
          <w:tcPr>
            <w:tcW w:w="1100" w:type="dxa"/>
            <w:tcMar>
              <w:top w:w="80" w:type="dxa"/>
              <w:bottom w:w="80" w:type="dxa"/>
              <w:left w:w="100" w:type="dxa"/>
              <w:right w:w="100" w:type="dxa"/>
            </w:tcMar>
          </w:tcPr>
          <w:p>
            <w:pPr>
              <w:jc w:val="right"/>
            </w:pPr>
            <w:r>
              <w:rPr>
                <w:rFonts w:ascii="Cambria" w:hAnsi="Cambria"/>
                <w:sz w:val="20"/>
                <w:color w:val="1c1422"/>
              </w:rPr>
              <w:t xml:space="preserve">$28,000</w:t>
            </w:r>
          </w:p>
        </w:tc>
        <w:tc>
          <w:tcPr>
            <w:tcW w:w="1300" w:type="dxa"/>
            <w:tcMar>
              <w:top w:w="80" w:type="dxa"/>
              <w:bottom w:w="80" w:type="dxa"/>
              <w:left w:w="100" w:type="dxa"/>
              <w:right w:w="100" w:type="dxa"/>
            </w:tcMar>
          </w:tcPr>
          <w:p>
            <w:pPr>
              <w:jc w:val="right"/>
            </w:pPr>
            <w:r>
              <w:rPr>
                <w:rFonts w:ascii="Cambria" w:hAnsi="Cambria"/>
                <w:sz w:val="20"/>
                <w:color w:val="1c1422"/>
              </w:rPr>
              <w:t xml:space="preserve">$150,000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Sankofa CPE Clinical Formation</w:t>
            </w:r>
          </w:p>
        </w:tc>
        <w:tc>
          <w:tcPr>
            <w:tcW w:w="1100" w:type="dxa"/>
            <w:tcMar>
              <w:top w:w="80" w:type="dxa"/>
              <w:bottom w:w="80" w:type="dxa"/>
              <w:left w:w="100" w:type="dxa"/>
              <w:right w:w="100" w:type="dxa"/>
            </w:tcMar>
          </w:tcPr>
          <w:p>
            <w:pPr>
              <w:jc w:val="right"/>
            </w:pPr>
            <w:r>
              <w:rPr>
                <w:rFonts w:ascii="Cambria" w:hAnsi="Cambria"/>
                <w:sz w:val="20"/>
                <w:color w:val="1c1422"/>
              </w:rPr>
              <w:t xml:space="preserve">$36,000</w:t>
            </w:r>
          </w:p>
        </w:tc>
        <w:tc>
          <w:tcPr>
            <w:tcW w:w="1100" w:type="dxa"/>
            <w:tcMar>
              <w:top w:w="80" w:type="dxa"/>
              <w:bottom w:w="80" w:type="dxa"/>
              <w:left w:w="100" w:type="dxa"/>
              <w:right w:w="100" w:type="dxa"/>
            </w:tcMar>
          </w:tcPr>
          <w:p>
            <w:pPr>
              <w:jc w:val="right"/>
            </w:pPr>
            <w:r>
              <w:rPr>
                <w:rFonts w:ascii="Cambria" w:hAnsi="Cambria"/>
                <w:sz w:val="20"/>
                <w:color w:val="1c1422"/>
              </w:rPr>
              <w:t xml:space="preserve">$35,000</w:t>
            </w:r>
          </w:p>
        </w:tc>
        <w:tc>
          <w:tcPr>
            <w:tcW w:w="1100" w:type="dxa"/>
            <w:tcMar>
              <w:top w:w="80" w:type="dxa"/>
              <w:bottom w:w="80" w:type="dxa"/>
              <w:left w:w="100" w:type="dxa"/>
              <w:right w:w="100" w:type="dxa"/>
            </w:tcMar>
          </w:tcPr>
          <w:p>
            <w:pPr>
              <w:jc w:val="right"/>
            </w:pPr>
            <w:r>
              <w:rPr>
                <w:rFonts w:ascii="Cambria" w:hAnsi="Cambria"/>
                <w:sz w:val="20"/>
                <w:color w:val="1c1422"/>
              </w:rPr>
              <w:t xml:space="preserve">$35,000</w:t>
            </w:r>
          </w:p>
        </w:tc>
        <w:tc>
          <w:tcPr>
            <w:tcW w:w="1100" w:type="dxa"/>
            <w:tcMar>
              <w:top w:w="80" w:type="dxa"/>
              <w:bottom w:w="80" w:type="dxa"/>
              <w:left w:w="100" w:type="dxa"/>
              <w:right w:w="100" w:type="dxa"/>
            </w:tcMar>
          </w:tcPr>
          <w:p>
            <w:pPr>
              <w:jc w:val="right"/>
            </w:pPr>
            <w:r>
              <w:rPr>
                <w:rFonts w:ascii="Cambria" w:hAnsi="Cambria"/>
                <w:sz w:val="20"/>
                <w:color w:val="1c1422"/>
              </w:rPr>
              <w:t xml:space="preserve">$35,000</w:t>
            </w:r>
          </w:p>
        </w:tc>
        <w:tc>
          <w:tcPr>
            <w:tcW w:w="1100" w:type="dxa"/>
            <w:tcMar>
              <w:top w:w="80" w:type="dxa"/>
              <w:bottom w:w="80" w:type="dxa"/>
              <w:left w:w="100" w:type="dxa"/>
              <w:right w:w="100" w:type="dxa"/>
            </w:tcMar>
          </w:tcPr>
          <w:p>
            <w:pPr>
              <w:jc w:val="right"/>
            </w:pPr>
            <w:r>
              <w:rPr>
                <w:rFonts w:ascii="Cambria" w:hAnsi="Cambria"/>
                <w:sz w:val="20"/>
                <w:color w:val="1c1422"/>
              </w:rPr>
              <w:t xml:space="preserve">$34,000</w:t>
            </w:r>
          </w:p>
        </w:tc>
        <w:tc>
          <w:tcPr>
            <w:tcW w:w="1300" w:type="dxa"/>
            <w:tcMar>
              <w:top w:w="80" w:type="dxa"/>
              <w:bottom w:w="80" w:type="dxa"/>
              <w:left w:w="100" w:type="dxa"/>
              <w:right w:w="100" w:type="dxa"/>
            </w:tcMar>
          </w:tcPr>
          <w:p>
            <w:pPr>
              <w:jc w:val="right"/>
            </w:pPr>
            <w:r>
              <w:rPr>
                <w:rFonts w:ascii="Cambria" w:hAnsi="Cambria"/>
                <w:sz w:val="20"/>
                <w:color w:val="1c1422"/>
              </w:rPr>
              <w:t xml:space="preserve">$175,000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Communications &amp; Dissemination</w:t>
            </w:r>
          </w:p>
        </w:tc>
        <w:tc>
          <w:tcPr>
            <w:tcW w:w="1100" w:type="dxa"/>
            <w:tcMar>
              <w:top w:w="80" w:type="dxa"/>
              <w:bottom w:w="80" w:type="dxa"/>
              <w:left w:w="100" w:type="dxa"/>
              <w:right w:w="100" w:type="dxa"/>
            </w:tcMar>
          </w:tcPr>
          <w:p>
            <w:pPr>
              <w:jc w:val="right"/>
            </w:pPr>
            <w:r>
              <w:rPr>
                <w:rFonts w:ascii="Cambria" w:hAnsi="Cambria"/>
                <w:sz w:val="20"/>
                <w:color w:val="1c1422"/>
              </w:rPr>
              <w:t xml:space="preserve">$16,000</w:t>
            </w:r>
          </w:p>
        </w:tc>
        <w:tc>
          <w:tcPr>
            <w:tcW w:w="1100" w:type="dxa"/>
            <w:tcMar>
              <w:top w:w="80" w:type="dxa"/>
              <w:bottom w:w="80" w:type="dxa"/>
              <w:left w:w="100" w:type="dxa"/>
              <w:right w:w="100" w:type="dxa"/>
            </w:tcMar>
          </w:tcPr>
          <w:p>
            <w:pPr>
              <w:jc w:val="right"/>
            </w:pPr>
            <w:r>
              <w:rPr>
                <w:rFonts w:ascii="Cambria" w:hAnsi="Cambria"/>
                <w:sz w:val="20"/>
                <w:color w:val="1c1422"/>
              </w:rPr>
              <w:t xml:space="preserve">$18,000</w:t>
            </w:r>
          </w:p>
        </w:tc>
        <w:tc>
          <w:tcPr>
            <w:tcW w:w="1100" w:type="dxa"/>
            <w:tcMar>
              <w:top w:w="80" w:type="dxa"/>
              <w:bottom w:w="80" w:type="dxa"/>
              <w:left w:w="100" w:type="dxa"/>
              <w:right w:w="100" w:type="dxa"/>
            </w:tcMar>
          </w:tcPr>
          <w:p>
            <w:pPr>
              <w:jc w:val="right"/>
            </w:pPr>
            <w:r>
              <w:rPr>
                <w:rFonts w:ascii="Cambria" w:hAnsi="Cambria"/>
                <w:sz w:val="20"/>
                <w:color w:val="1c1422"/>
              </w:rPr>
              <w:t xml:space="preserve">$18,000</w:t>
            </w:r>
          </w:p>
        </w:tc>
        <w:tc>
          <w:tcPr>
            <w:tcW w:w="1100" w:type="dxa"/>
            <w:tcMar>
              <w:top w:w="80" w:type="dxa"/>
              <w:bottom w:w="80" w:type="dxa"/>
              <w:left w:w="100" w:type="dxa"/>
              <w:right w:w="100" w:type="dxa"/>
            </w:tcMar>
          </w:tcPr>
          <w:p>
            <w:pPr>
              <w:jc w:val="right"/>
            </w:pPr>
            <w:r>
              <w:rPr>
                <w:rFonts w:ascii="Cambria" w:hAnsi="Cambria"/>
                <w:sz w:val="20"/>
                <w:color w:val="1c1422"/>
              </w:rPr>
              <w:t xml:space="preserve">$18,000</w:t>
            </w:r>
          </w:p>
        </w:tc>
        <w:tc>
          <w:tcPr>
            <w:tcW w:w="1100" w:type="dxa"/>
            <w:tcMar>
              <w:top w:w="80" w:type="dxa"/>
              <w:bottom w:w="80" w:type="dxa"/>
              <w:left w:w="100" w:type="dxa"/>
              <w:right w:w="100" w:type="dxa"/>
            </w:tcMar>
          </w:tcPr>
          <w:p>
            <w:pPr>
              <w:jc w:val="right"/>
            </w:pPr>
            <w:r>
              <w:rPr>
                <w:rFonts w:ascii="Cambria" w:hAnsi="Cambria"/>
                <w:sz w:val="20"/>
                <w:color w:val="1c1422"/>
              </w:rPr>
              <w:t xml:space="preserve">$20,000</w:t>
            </w:r>
          </w:p>
        </w:tc>
        <w:tc>
          <w:tcPr>
            <w:tcW w:w="1300" w:type="dxa"/>
            <w:tcMar>
              <w:top w:w="80" w:type="dxa"/>
              <w:bottom w:w="80" w:type="dxa"/>
              <w:left w:w="100" w:type="dxa"/>
              <w:right w:w="100" w:type="dxa"/>
            </w:tcMar>
          </w:tcPr>
          <w:p>
            <w:pPr>
              <w:jc w:val="right"/>
            </w:pPr>
            <w:r>
              <w:rPr>
                <w:rFonts w:ascii="Cambria" w:hAnsi="Cambria"/>
                <w:sz w:val="20"/>
                <w:color w:val="1c1422"/>
              </w:rPr>
              <w:t xml:space="preserve">$90,000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Evaluation &amp; Learning</w:t>
            </w:r>
          </w:p>
        </w:tc>
        <w:tc>
          <w:tcPr>
            <w:tcW w:w="1100" w:type="dxa"/>
            <w:tcMar>
              <w:top w:w="80" w:type="dxa"/>
              <w:bottom w:w="80" w:type="dxa"/>
              <w:left w:w="100" w:type="dxa"/>
              <w:right w:w="100" w:type="dxa"/>
            </w:tcMar>
          </w:tcPr>
          <w:p>
            <w:pPr>
              <w:jc w:val="right"/>
            </w:pPr>
            <w:r>
              <w:rPr>
                <w:rFonts w:ascii="Cambria" w:hAnsi="Cambria"/>
                <w:sz w:val="20"/>
                <w:color w:val="1c1422"/>
              </w:rPr>
              <w:t xml:space="preserve">$26,000</w:t>
            </w:r>
          </w:p>
        </w:tc>
        <w:tc>
          <w:tcPr>
            <w:tcW w:w="1100" w:type="dxa"/>
            <w:tcMar>
              <w:top w:w="80" w:type="dxa"/>
              <w:bottom w:w="80" w:type="dxa"/>
              <w:left w:w="100" w:type="dxa"/>
              <w:right w:w="100" w:type="dxa"/>
            </w:tcMar>
          </w:tcPr>
          <w:p>
            <w:pPr>
              <w:jc w:val="right"/>
            </w:pPr>
            <w:r>
              <w:rPr>
                <w:rFonts w:ascii="Cambria" w:hAnsi="Cambria"/>
                <w:sz w:val="20"/>
                <w:color w:val="1c1422"/>
              </w:rPr>
              <w:t xml:space="preserve">$28,000</w:t>
            </w:r>
          </w:p>
        </w:tc>
        <w:tc>
          <w:tcPr>
            <w:tcW w:w="1100" w:type="dxa"/>
            <w:tcMar>
              <w:top w:w="80" w:type="dxa"/>
              <w:bottom w:w="80" w:type="dxa"/>
              <w:left w:w="100" w:type="dxa"/>
              <w:right w:w="100" w:type="dxa"/>
            </w:tcMar>
          </w:tcPr>
          <w:p>
            <w:pPr>
              <w:jc w:val="right"/>
            </w:pPr>
            <w:r>
              <w:rPr>
                <w:rFonts w:ascii="Cambria" w:hAnsi="Cambria"/>
                <w:sz w:val="20"/>
                <w:color w:val="1c1422"/>
              </w:rPr>
              <w:t xml:space="preserve">$30,000</w:t>
            </w:r>
          </w:p>
        </w:tc>
        <w:tc>
          <w:tcPr>
            <w:tcW w:w="1100" w:type="dxa"/>
            <w:tcMar>
              <w:top w:w="80" w:type="dxa"/>
              <w:bottom w:w="80" w:type="dxa"/>
              <w:left w:w="100" w:type="dxa"/>
              <w:right w:w="100" w:type="dxa"/>
            </w:tcMar>
          </w:tcPr>
          <w:p>
            <w:pPr>
              <w:jc w:val="right"/>
            </w:pPr>
            <w:r>
              <w:rPr>
                <w:rFonts w:ascii="Cambria" w:hAnsi="Cambria"/>
                <w:sz w:val="20"/>
                <w:color w:val="1c1422"/>
              </w:rPr>
              <w:t xml:space="preserve">$30,000</w:t>
            </w:r>
          </w:p>
        </w:tc>
        <w:tc>
          <w:tcPr>
            <w:tcW w:w="1100" w:type="dxa"/>
            <w:tcMar>
              <w:top w:w="80" w:type="dxa"/>
              <w:bottom w:w="80" w:type="dxa"/>
              <w:left w:w="100" w:type="dxa"/>
              <w:right w:w="100" w:type="dxa"/>
            </w:tcMar>
          </w:tcPr>
          <w:p>
            <w:pPr>
              <w:jc w:val="right"/>
            </w:pPr>
            <w:r>
              <w:rPr>
                <w:rFonts w:ascii="Cambria" w:hAnsi="Cambria"/>
                <w:sz w:val="20"/>
                <w:color w:val="1c1422"/>
              </w:rPr>
              <w:t xml:space="preserve">$26,000</w:t>
            </w:r>
          </w:p>
        </w:tc>
        <w:tc>
          <w:tcPr>
            <w:tcW w:w="1300" w:type="dxa"/>
            <w:tcMar>
              <w:top w:w="80" w:type="dxa"/>
              <w:bottom w:w="80" w:type="dxa"/>
              <w:left w:w="100" w:type="dxa"/>
              <w:right w:w="100" w:type="dxa"/>
            </w:tcMar>
          </w:tcPr>
          <w:p>
            <w:pPr>
              <w:jc w:val="right"/>
            </w:pPr>
            <w:r>
              <w:rPr>
                <w:rFonts w:ascii="Cambria" w:hAnsi="Cambria"/>
                <w:sz w:val="20"/>
                <w:color w:val="1c1422"/>
              </w:rPr>
              <w:t xml:space="preserve">$140,000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Sustainability &amp; Replication</w:t>
            </w:r>
          </w:p>
        </w:tc>
        <w:tc>
          <w:tcPr>
            <w:tcW w:w="1100" w:type="dxa"/>
            <w:tcMar>
              <w:top w:w="80" w:type="dxa"/>
              <w:bottom w:w="80" w:type="dxa"/>
              <w:left w:w="100" w:type="dxa"/>
              <w:right w:w="100" w:type="dxa"/>
            </w:tcMar>
          </w:tcPr>
          <w:p>
            <w:pPr>
              <w:jc w:val="right"/>
            </w:pPr>
            <w:r>
              <w:rPr>
                <w:rFonts w:ascii="Cambria" w:hAnsi="Cambria"/>
                <w:sz w:val="20"/>
                <w:color w:val="1c1422"/>
              </w:rPr>
              <w:t xml:space="preserve">$14,000</w:t>
            </w:r>
          </w:p>
        </w:tc>
        <w:tc>
          <w:tcPr>
            <w:tcW w:w="1100" w:type="dxa"/>
            <w:tcMar>
              <w:top w:w="80" w:type="dxa"/>
              <w:bottom w:w="80" w:type="dxa"/>
              <w:left w:w="100" w:type="dxa"/>
              <w:right w:w="100" w:type="dxa"/>
            </w:tcMar>
          </w:tcPr>
          <w:p>
            <w:pPr>
              <w:jc w:val="right"/>
            </w:pPr>
            <w:r>
              <w:rPr>
                <w:rFonts w:ascii="Cambria" w:hAnsi="Cambria"/>
                <w:sz w:val="20"/>
                <w:color w:val="1c1422"/>
              </w:rPr>
              <w:t xml:space="preserve">$18,000</w:t>
            </w:r>
          </w:p>
        </w:tc>
        <w:tc>
          <w:tcPr>
            <w:tcW w:w="1100" w:type="dxa"/>
            <w:tcMar>
              <w:top w:w="80" w:type="dxa"/>
              <w:bottom w:w="80" w:type="dxa"/>
              <w:left w:w="100" w:type="dxa"/>
              <w:right w:w="100" w:type="dxa"/>
            </w:tcMar>
          </w:tcPr>
          <w:p>
            <w:pPr>
              <w:jc w:val="right"/>
            </w:pPr>
            <w:r>
              <w:rPr>
                <w:rFonts w:ascii="Cambria" w:hAnsi="Cambria"/>
                <w:sz w:val="20"/>
                <w:color w:val="1c1422"/>
              </w:rPr>
              <w:t xml:space="preserve">$22,000</w:t>
            </w:r>
          </w:p>
        </w:tc>
        <w:tc>
          <w:tcPr>
            <w:tcW w:w="1100" w:type="dxa"/>
            <w:tcMar>
              <w:top w:w="80" w:type="dxa"/>
              <w:bottom w:w="80" w:type="dxa"/>
              <w:left w:w="100" w:type="dxa"/>
              <w:right w:w="100" w:type="dxa"/>
            </w:tcMar>
          </w:tcPr>
          <w:p>
            <w:pPr>
              <w:jc w:val="right"/>
            </w:pPr>
            <w:r>
              <w:rPr>
                <w:rFonts w:ascii="Cambria" w:hAnsi="Cambria"/>
                <w:sz w:val="20"/>
                <w:color w:val="1c1422"/>
              </w:rPr>
              <w:t xml:space="preserve">$28,000</w:t>
            </w:r>
          </w:p>
        </w:tc>
        <w:tc>
          <w:tcPr>
            <w:tcW w:w="1100" w:type="dxa"/>
            <w:tcMar>
              <w:top w:w="80" w:type="dxa"/>
              <w:bottom w:w="80" w:type="dxa"/>
              <w:left w:w="100" w:type="dxa"/>
              <w:right w:w="100" w:type="dxa"/>
            </w:tcMar>
          </w:tcPr>
          <w:p>
            <w:pPr>
              <w:jc w:val="right"/>
            </w:pPr>
            <w:r>
              <w:rPr>
                <w:rFonts w:ascii="Cambria" w:hAnsi="Cambria"/>
                <w:sz w:val="20"/>
                <w:color w:val="1c1422"/>
              </w:rPr>
              <w:t xml:space="preserve">$28,000</w:t>
            </w:r>
          </w:p>
        </w:tc>
        <w:tc>
          <w:tcPr>
            <w:tcW w:w="1300" w:type="dxa"/>
            <w:tcMar>
              <w:top w:w="80" w:type="dxa"/>
              <w:bottom w:w="80" w:type="dxa"/>
              <w:left w:w="100" w:type="dxa"/>
              <w:right w:w="100" w:type="dxa"/>
            </w:tcMar>
          </w:tcPr>
          <w:p>
            <w:pPr>
              <w:jc w:val="right"/>
            </w:pPr>
            <w:r>
              <w:rPr>
                <w:rFonts w:ascii="Cambria" w:hAnsi="Cambria"/>
                <w:sz w:val="20"/>
                <w:color w:val="1c1422"/>
              </w:rPr>
              <w:t xml:space="preserve">$110,000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Technology &amp; Hybrid Infrastructure</w:t>
            </w:r>
          </w:p>
        </w:tc>
        <w:tc>
          <w:tcPr>
            <w:tcW w:w="1100" w:type="dxa"/>
            <w:tcMar>
              <w:top w:w="80" w:type="dxa"/>
              <w:bottom w:w="80" w:type="dxa"/>
              <w:left w:w="100" w:type="dxa"/>
              <w:right w:w="100" w:type="dxa"/>
            </w:tcMar>
          </w:tcPr>
          <w:p>
            <w:pPr>
              <w:jc w:val="right"/>
            </w:pPr>
            <w:r>
              <w:rPr>
                <w:rFonts w:ascii="Cambria" w:hAnsi="Cambria"/>
                <w:sz w:val="20"/>
                <w:color w:val="1c1422"/>
              </w:rPr>
              <w:t xml:space="preserve">$20,000</w:t>
            </w:r>
          </w:p>
        </w:tc>
        <w:tc>
          <w:tcPr>
            <w:tcW w:w="1100" w:type="dxa"/>
            <w:tcMar>
              <w:top w:w="80" w:type="dxa"/>
              <w:bottom w:w="80" w:type="dxa"/>
              <w:left w:w="100" w:type="dxa"/>
              <w:right w:w="100" w:type="dxa"/>
            </w:tcMar>
          </w:tcPr>
          <w:p>
            <w:pPr>
              <w:jc w:val="right"/>
            </w:pPr>
            <w:r>
              <w:rPr>
                <w:rFonts w:ascii="Cambria" w:hAnsi="Cambria"/>
                <w:sz w:val="20"/>
                <w:color w:val="1c1422"/>
              </w:rPr>
              <w:t xml:space="preserve">$18,000</w:t>
            </w:r>
          </w:p>
        </w:tc>
        <w:tc>
          <w:tcPr>
            <w:tcW w:w="1100" w:type="dxa"/>
            <w:tcMar>
              <w:top w:w="80" w:type="dxa"/>
              <w:bottom w:w="80" w:type="dxa"/>
              <w:left w:w="100" w:type="dxa"/>
              <w:right w:w="100" w:type="dxa"/>
            </w:tcMar>
          </w:tcPr>
          <w:p>
            <w:pPr>
              <w:jc w:val="right"/>
            </w:pPr>
            <w:r>
              <w:rPr>
                <w:rFonts w:ascii="Cambria" w:hAnsi="Cambria"/>
                <w:sz w:val="20"/>
                <w:color w:val="1c1422"/>
              </w:rPr>
              <w:t xml:space="preserve">$18,000</w:t>
            </w:r>
          </w:p>
        </w:tc>
        <w:tc>
          <w:tcPr>
            <w:tcW w:w="1100" w:type="dxa"/>
            <w:tcMar>
              <w:top w:w="80" w:type="dxa"/>
              <w:bottom w:w="80" w:type="dxa"/>
              <w:left w:w="100" w:type="dxa"/>
              <w:right w:w="100" w:type="dxa"/>
            </w:tcMar>
          </w:tcPr>
          <w:p>
            <w:pPr>
              <w:jc w:val="right"/>
            </w:pPr>
            <w:r>
              <w:rPr>
                <w:rFonts w:ascii="Cambria" w:hAnsi="Cambria"/>
                <w:sz w:val="20"/>
                <w:color w:val="1c1422"/>
              </w:rPr>
              <w:t xml:space="preserve">$15,000</w:t>
            </w:r>
          </w:p>
        </w:tc>
        <w:tc>
          <w:tcPr>
            <w:tcW w:w="1100" w:type="dxa"/>
            <w:tcMar>
              <w:top w:w="80" w:type="dxa"/>
              <w:bottom w:w="80" w:type="dxa"/>
              <w:left w:w="100" w:type="dxa"/>
              <w:right w:w="100" w:type="dxa"/>
            </w:tcMar>
          </w:tcPr>
          <w:p>
            <w:pPr>
              <w:jc w:val="right"/>
            </w:pPr>
            <w:r>
              <w:rPr>
                <w:rFonts w:ascii="Cambria" w:hAnsi="Cambria"/>
                <w:sz w:val="20"/>
                <w:color w:val="1c1422"/>
              </w:rPr>
              <w:t xml:space="preserve">$14,000</w:t>
            </w:r>
          </w:p>
        </w:tc>
        <w:tc>
          <w:tcPr>
            <w:tcW w:w="1300" w:type="dxa"/>
            <w:tcMar>
              <w:top w:w="80" w:type="dxa"/>
              <w:bottom w:w="80" w:type="dxa"/>
              <w:left w:w="100" w:type="dxa"/>
              <w:right w:w="100" w:type="dxa"/>
            </w:tcMar>
          </w:tcPr>
          <w:p>
            <w:pPr>
              <w:jc w:val="right"/>
            </w:pPr>
            <w:r>
              <w:rPr>
                <w:rFonts w:ascii="Cambria" w:hAnsi="Cambria"/>
                <w:sz w:val="20"/>
                <w:color w:val="1c1422"/>
              </w:rPr>
              <w:t xml:space="preserve">$85,000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Fellows &amp; Emerging Leaders</w:t>
            </w:r>
          </w:p>
        </w:tc>
        <w:tc>
          <w:tcPr>
            <w:tcW w:w="1100" w:type="dxa"/>
            <w:tcMar>
              <w:top w:w="80" w:type="dxa"/>
              <w:bottom w:w="80" w:type="dxa"/>
              <w:left w:w="100" w:type="dxa"/>
              <w:right w:w="100" w:type="dxa"/>
            </w:tcMar>
          </w:tcPr>
          <w:p>
            <w:pPr>
              <w:jc w:val="right"/>
            </w:pPr>
            <w:r>
              <w:rPr>
                <w:rFonts w:ascii="Cambria" w:hAnsi="Cambria"/>
                <w:sz w:val="20"/>
                <w:color w:val="1c1422"/>
              </w:rPr>
              <w:t xml:space="preserve">$14,000</w:t>
            </w:r>
          </w:p>
        </w:tc>
        <w:tc>
          <w:tcPr>
            <w:tcW w:w="1100" w:type="dxa"/>
            <w:tcMar>
              <w:top w:w="80" w:type="dxa"/>
              <w:bottom w:w="80" w:type="dxa"/>
              <w:left w:w="100" w:type="dxa"/>
              <w:right w:w="100" w:type="dxa"/>
            </w:tcMar>
          </w:tcPr>
          <w:p>
            <w:pPr>
              <w:jc w:val="right"/>
            </w:pPr>
            <w:r>
              <w:rPr>
                <w:rFonts w:ascii="Cambria" w:hAnsi="Cambria"/>
                <w:sz w:val="20"/>
                <w:color w:val="1c1422"/>
              </w:rPr>
              <w:t xml:space="preserve">$18,000</w:t>
            </w:r>
          </w:p>
        </w:tc>
        <w:tc>
          <w:tcPr>
            <w:tcW w:w="1100" w:type="dxa"/>
            <w:tcMar>
              <w:top w:w="80" w:type="dxa"/>
              <w:bottom w:w="80" w:type="dxa"/>
              <w:left w:w="100" w:type="dxa"/>
              <w:right w:w="100" w:type="dxa"/>
            </w:tcMar>
          </w:tcPr>
          <w:p>
            <w:pPr>
              <w:jc w:val="right"/>
            </w:pPr>
            <w:r>
              <w:rPr>
                <w:rFonts w:ascii="Cambria" w:hAnsi="Cambria"/>
                <w:sz w:val="20"/>
                <w:color w:val="1c1422"/>
              </w:rPr>
              <w:t xml:space="preserve">$20,000</w:t>
            </w:r>
          </w:p>
        </w:tc>
        <w:tc>
          <w:tcPr>
            <w:tcW w:w="1100" w:type="dxa"/>
            <w:tcMar>
              <w:top w:w="80" w:type="dxa"/>
              <w:bottom w:w="80" w:type="dxa"/>
              <w:left w:w="100" w:type="dxa"/>
              <w:right w:w="100" w:type="dxa"/>
            </w:tcMar>
          </w:tcPr>
          <w:p>
            <w:pPr>
              <w:jc w:val="right"/>
            </w:pPr>
            <w:r>
              <w:rPr>
                <w:rFonts w:ascii="Cambria" w:hAnsi="Cambria"/>
                <w:sz w:val="20"/>
                <w:color w:val="1c1422"/>
              </w:rPr>
              <w:t xml:space="preserve">$20,000</w:t>
            </w:r>
          </w:p>
        </w:tc>
        <w:tc>
          <w:tcPr>
            <w:tcW w:w="1100" w:type="dxa"/>
            <w:tcMar>
              <w:top w:w="80" w:type="dxa"/>
              <w:bottom w:w="80" w:type="dxa"/>
              <w:left w:w="100" w:type="dxa"/>
              <w:right w:w="100" w:type="dxa"/>
            </w:tcMar>
          </w:tcPr>
          <w:p>
            <w:pPr>
              <w:jc w:val="right"/>
            </w:pPr>
            <w:r>
              <w:rPr>
                <w:rFonts w:ascii="Cambria" w:hAnsi="Cambria"/>
                <w:sz w:val="20"/>
                <w:color w:val="1c1422"/>
              </w:rPr>
              <w:t xml:space="preserve">$18,000</w:t>
            </w:r>
          </w:p>
        </w:tc>
        <w:tc>
          <w:tcPr>
            <w:tcW w:w="1300" w:type="dxa"/>
            <w:tcMar>
              <w:top w:w="80" w:type="dxa"/>
              <w:bottom w:w="80" w:type="dxa"/>
              <w:left w:w="100" w:type="dxa"/>
              <w:right w:w="100" w:type="dxa"/>
            </w:tcMar>
          </w:tcPr>
          <w:p>
            <w:pPr>
              <w:jc w:val="right"/>
            </w:pPr>
            <w:r>
              <w:rPr>
                <w:rFonts w:ascii="Cambria" w:hAnsi="Cambria"/>
                <w:sz w:val="20"/>
                <w:color w:val="1c1422"/>
              </w:rPr>
              <w:t xml:space="preserve">$90,000</w:t>
            </w:r>
          </w:p>
        </w:tc>
      </w:tr>
      <w:tr>
        <w:tc>
          <w:tcPr>
            <w:tcW w:w="2900" w:type="dxa"/>
            <w:tcMar>
              <w:top w:w="80" w:type="dxa"/>
              <w:bottom w:w="80" w:type="dxa"/>
              <w:left w:w="100" w:type="dxa"/>
              <w:right w:w="100" w:type="dxa"/>
            </w:tcMar>
          </w:tcPr>
          <w:p>
            <w:pPr>
              <w:jc w:val="left"/>
            </w:pPr>
            <w:r>
              <w:rPr>
                <w:rFonts w:ascii="Cambria" w:hAnsi="Cambria"/>
                <w:sz w:val="20"/>
                <w:color w:val="1c1422"/>
                <w:b/>
              </w:rPr>
              <w:t xml:space="preserve">Direct Costs Subtotal</w:t>
            </w:r>
          </w:p>
        </w:tc>
        <w:tc>
          <w:tcPr>
            <w:tcW w:w="1100" w:type="dxa"/>
            <w:tcMar>
              <w:top w:w="80" w:type="dxa"/>
              <w:bottom w:w="80" w:type="dxa"/>
              <w:left w:w="100" w:type="dxa"/>
              <w:right w:w="100" w:type="dxa"/>
            </w:tcMar>
          </w:tcPr>
          <w:p>
            <w:pPr>
              <w:jc w:val="right"/>
            </w:pPr>
            <w:r>
              <w:rPr>
                <w:rFonts w:ascii="Cambria" w:hAnsi="Cambria"/>
                <w:sz w:val="20"/>
                <w:color w:val="1c1422"/>
                <w:b/>
              </w:rPr>
              <w:t xml:space="preserve">$475,000</w:t>
            </w:r>
          </w:p>
        </w:tc>
        <w:tc>
          <w:tcPr>
            <w:tcW w:w="1100" w:type="dxa"/>
            <w:tcMar>
              <w:top w:w="80" w:type="dxa"/>
              <w:bottom w:w="80" w:type="dxa"/>
              <w:left w:w="100" w:type="dxa"/>
              <w:right w:w="100" w:type="dxa"/>
            </w:tcMar>
          </w:tcPr>
          <w:p>
            <w:pPr>
              <w:jc w:val="right"/>
            </w:pPr>
            <w:r>
              <w:rPr>
                <w:rFonts w:ascii="Cambria" w:hAnsi="Cambria"/>
                <w:sz w:val="20"/>
                <w:color w:val="1c1422"/>
                <w:b/>
              </w:rPr>
              <w:t xml:space="preserve">$492,000</w:t>
            </w:r>
          </w:p>
        </w:tc>
        <w:tc>
          <w:tcPr>
            <w:tcW w:w="1100" w:type="dxa"/>
            <w:tcMar>
              <w:top w:w="80" w:type="dxa"/>
              <w:bottom w:w="80" w:type="dxa"/>
              <w:left w:w="100" w:type="dxa"/>
              <w:right w:w="100" w:type="dxa"/>
            </w:tcMar>
          </w:tcPr>
          <w:p>
            <w:pPr>
              <w:jc w:val="right"/>
            </w:pPr>
            <w:r>
              <w:rPr>
                <w:rFonts w:ascii="Cambria" w:hAnsi="Cambria"/>
                <w:sz w:val="20"/>
                <w:color w:val="1c1422"/>
                <w:b/>
              </w:rPr>
              <w:t xml:space="preserve">$485,000</w:t>
            </w:r>
          </w:p>
        </w:tc>
        <w:tc>
          <w:tcPr>
            <w:tcW w:w="1100" w:type="dxa"/>
            <w:tcMar>
              <w:top w:w="80" w:type="dxa"/>
              <w:bottom w:w="80" w:type="dxa"/>
              <w:left w:w="100" w:type="dxa"/>
              <w:right w:w="100" w:type="dxa"/>
            </w:tcMar>
          </w:tcPr>
          <w:p>
            <w:pPr>
              <w:jc w:val="right"/>
            </w:pPr>
            <w:r>
              <w:rPr>
                <w:rFonts w:ascii="Cambria" w:hAnsi="Cambria"/>
                <w:sz w:val="20"/>
                <w:color w:val="1c1422"/>
                <w:b/>
              </w:rPr>
              <w:t xml:space="preserve">$465,000</w:t>
            </w:r>
          </w:p>
        </w:tc>
        <w:tc>
          <w:tcPr>
            <w:tcW w:w="1100" w:type="dxa"/>
            <w:tcMar>
              <w:top w:w="80" w:type="dxa"/>
              <w:bottom w:w="80" w:type="dxa"/>
              <w:left w:w="100" w:type="dxa"/>
              <w:right w:w="100" w:type="dxa"/>
            </w:tcMar>
          </w:tcPr>
          <w:p>
            <w:pPr>
              <w:jc w:val="right"/>
            </w:pPr>
            <w:r>
              <w:rPr>
                <w:rFonts w:ascii="Cambria" w:hAnsi="Cambria"/>
                <w:sz w:val="20"/>
                <w:color w:val="1c1422"/>
                <w:b/>
              </w:rPr>
              <w:t xml:space="preserve">$443,000</w:t>
            </w:r>
          </w:p>
        </w:tc>
        <w:tc>
          <w:tcPr>
            <w:tcW w:w="1300" w:type="dxa"/>
            <w:tcMar>
              <w:top w:w="80" w:type="dxa"/>
              <w:bottom w:w="80" w:type="dxa"/>
              <w:left w:w="100" w:type="dxa"/>
              <w:right w:w="100" w:type="dxa"/>
            </w:tcMar>
          </w:tcPr>
          <w:p>
            <w:pPr>
              <w:jc w:val="right"/>
            </w:pPr>
            <w:r>
              <w:rPr>
                <w:rFonts w:ascii="Cambria" w:hAnsi="Cambria"/>
                <w:sz w:val="20"/>
                <w:color w:val="1c1422"/>
                <w:b/>
              </w:rPr>
              <w:t xml:space="preserve">$2,360,000</w:t>
            </w:r>
          </w:p>
        </w:tc>
      </w:tr>
      <w:tr>
        <w:tc>
          <w:tcPr>
            <w:tcW w:w="2900" w:type="dxa"/>
            <w:shd w:val="clear" w:color="auto" w:fill="f5efe0"/>
            <w:tcMar>
              <w:top w:w="80" w:type="dxa"/>
              <w:bottom w:w="80" w:type="dxa"/>
              <w:left w:w="100" w:type="dxa"/>
              <w:right w:w="100" w:type="dxa"/>
            </w:tcMar>
          </w:tcPr>
          <w:p>
            <w:pPr>
              <w:jc w:val="left"/>
            </w:pPr>
            <w:r>
              <w:rPr>
                <w:rFonts w:ascii="Cambria" w:hAnsi="Cambria"/>
                <w:sz w:val="20"/>
                <w:color w:val="5A2D91"/>
                <w:b/>
              </w:rPr>
              <w:t xml:space="preserve">Indirect Costs (6%)</w:t>
            </w:r>
          </w:p>
        </w:tc>
        <w:tc>
          <w:tcPr>
            <w:tcW w:w="1100" w:type="dxa"/>
            <w:shd w:val="clear" w:color="auto" w:fill="f5efe0"/>
            <w:tcMar>
              <w:top w:w="80" w:type="dxa"/>
              <w:bottom w:w="80" w:type="dxa"/>
              <w:left w:w="100" w:type="dxa"/>
              <w:right w:w="100" w:type="dxa"/>
            </w:tcMar>
          </w:tcPr>
          <w:p>
            <w:pPr>
              <w:jc w:val="right"/>
            </w:pPr>
            <w:r>
              <w:rPr>
                <w:rFonts w:ascii="Cambria" w:hAnsi="Cambria"/>
                <w:sz w:val="20"/>
                <w:color w:val="5A2D91"/>
                <w:b/>
              </w:rPr>
              <w:t xml:space="preserve">$29,000</w:t>
            </w:r>
          </w:p>
        </w:tc>
        <w:tc>
          <w:tcPr>
            <w:tcW w:w="1100" w:type="dxa"/>
            <w:shd w:val="clear" w:color="auto" w:fill="f5efe0"/>
            <w:tcMar>
              <w:top w:w="80" w:type="dxa"/>
              <w:bottom w:w="80" w:type="dxa"/>
              <w:left w:w="100" w:type="dxa"/>
              <w:right w:w="100" w:type="dxa"/>
            </w:tcMar>
          </w:tcPr>
          <w:p>
            <w:pPr>
              <w:jc w:val="right"/>
            </w:pPr>
            <w:r>
              <w:rPr>
                <w:rFonts w:ascii="Cambria" w:hAnsi="Cambria"/>
                <w:sz w:val="20"/>
                <w:color w:val="5A2D91"/>
                <w:b/>
              </w:rPr>
              <w:t xml:space="preserve">$29,000</w:t>
            </w:r>
          </w:p>
        </w:tc>
        <w:tc>
          <w:tcPr>
            <w:tcW w:w="1100" w:type="dxa"/>
            <w:shd w:val="clear" w:color="auto" w:fill="f5efe0"/>
            <w:tcMar>
              <w:top w:w="80" w:type="dxa"/>
              <w:bottom w:w="80" w:type="dxa"/>
              <w:left w:w="100" w:type="dxa"/>
              <w:right w:w="100" w:type="dxa"/>
            </w:tcMar>
          </w:tcPr>
          <w:p>
            <w:pPr>
              <w:jc w:val="right"/>
            </w:pPr>
            <w:r>
              <w:rPr>
                <w:rFonts w:ascii="Cambria" w:hAnsi="Cambria"/>
                <w:sz w:val="20"/>
                <w:color w:val="5A2D91"/>
                <w:b/>
              </w:rPr>
              <w:t xml:space="preserve">$29,000</w:t>
            </w:r>
          </w:p>
        </w:tc>
        <w:tc>
          <w:tcPr>
            <w:tcW w:w="1100" w:type="dxa"/>
            <w:shd w:val="clear" w:color="auto" w:fill="f5efe0"/>
            <w:tcMar>
              <w:top w:w="80" w:type="dxa"/>
              <w:bottom w:w="80" w:type="dxa"/>
              <w:left w:w="100" w:type="dxa"/>
              <w:right w:w="100" w:type="dxa"/>
            </w:tcMar>
          </w:tcPr>
          <w:p>
            <w:pPr>
              <w:jc w:val="right"/>
            </w:pPr>
            <w:r>
              <w:rPr>
                <w:rFonts w:ascii="Cambria" w:hAnsi="Cambria"/>
                <w:sz w:val="20"/>
                <w:color w:val="5A2D91"/>
                <w:b/>
              </w:rPr>
              <w:t xml:space="preserve">$28,000</w:t>
            </w:r>
          </w:p>
        </w:tc>
        <w:tc>
          <w:tcPr>
            <w:tcW w:w="1100" w:type="dxa"/>
            <w:shd w:val="clear" w:color="auto" w:fill="f5efe0"/>
            <w:tcMar>
              <w:top w:w="80" w:type="dxa"/>
              <w:bottom w:w="80" w:type="dxa"/>
              <w:left w:w="100" w:type="dxa"/>
              <w:right w:w="100" w:type="dxa"/>
            </w:tcMar>
          </w:tcPr>
          <w:p>
            <w:pPr>
              <w:jc w:val="right"/>
            </w:pPr>
            <w:r>
              <w:rPr>
                <w:rFonts w:ascii="Cambria" w:hAnsi="Cambria"/>
                <w:sz w:val="20"/>
                <w:color w:val="5A2D91"/>
                <w:b/>
              </w:rPr>
              <w:t xml:space="preserve">$25,000</w:t>
            </w:r>
          </w:p>
        </w:tc>
        <w:tc>
          <w:tcPr>
            <w:tcW w:w="1300" w:type="dxa"/>
            <w:shd w:val="clear" w:color="auto" w:fill="f5efe0"/>
            <w:tcMar>
              <w:top w:w="80" w:type="dxa"/>
              <w:bottom w:w="80" w:type="dxa"/>
              <w:left w:w="100" w:type="dxa"/>
              <w:right w:w="100" w:type="dxa"/>
            </w:tcMar>
          </w:tcPr>
          <w:p>
            <w:pPr>
              <w:jc w:val="right"/>
            </w:pPr>
            <w:r>
              <w:rPr>
                <w:rFonts w:ascii="Cambria" w:hAnsi="Cambria"/>
                <w:sz w:val="20"/>
                <w:color w:val="5A2D91"/>
                <w:b/>
              </w:rPr>
              <w:t xml:space="preserve">$140,000</w:t>
            </w:r>
          </w:p>
        </w:tc>
      </w:tr>
      <w:tr>
        <w:tc>
          <w:tcPr>
            <w:tcW w:w="2900" w:type="dxa"/>
            <w:tcMar>
              <w:top w:w="80" w:type="dxa"/>
              <w:bottom w:w="80" w:type="dxa"/>
              <w:left w:w="100" w:type="dxa"/>
              <w:right w:w="100" w:type="dxa"/>
            </w:tcMar>
          </w:tcPr>
          <w:p>
            <w:pPr>
              <w:jc w:val="left"/>
            </w:pPr>
            <w:r>
              <w:rPr>
                <w:rFonts w:ascii="Cambria" w:hAnsi="Cambria"/>
                <w:sz w:val="20"/>
                <w:color w:val="1c1422"/>
              </w:rPr>
              <w:t xml:space="preserve">TOTAL EXPENSES</w:t>
            </w:r>
          </w:p>
        </w:tc>
        <w:tc>
          <w:tcPr>
            <w:tcW w:w="1100" w:type="dxa"/>
            <w:tcMar>
              <w:top w:w="80" w:type="dxa"/>
              <w:bottom w:w="80" w:type="dxa"/>
              <w:left w:w="100" w:type="dxa"/>
              <w:right w:w="100" w:type="dxa"/>
            </w:tcMar>
          </w:tcPr>
          <w:p>
            <w:pPr>
              <w:jc w:val="right"/>
            </w:pPr>
            <w:r>
              <w:rPr>
                <w:rFonts w:ascii="Cambria" w:hAnsi="Cambria"/>
                <w:sz w:val="20"/>
                <w:color w:val="1c1422"/>
              </w:rPr>
              <w:t xml:space="preserve">$504,000</w:t>
            </w:r>
          </w:p>
        </w:tc>
        <w:tc>
          <w:tcPr>
            <w:tcW w:w="1100" w:type="dxa"/>
            <w:tcMar>
              <w:top w:w="80" w:type="dxa"/>
              <w:bottom w:w="80" w:type="dxa"/>
              <w:left w:w="100" w:type="dxa"/>
              <w:right w:w="100" w:type="dxa"/>
            </w:tcMar>
          </w:tcPr>
          <w:p>
            <w:pPr>
              <w:jc w:val="right"/>
            </w:pPr>
            <w:r>
              <w:rPr>
                <w:rFonts w:ascii="Cambria" w:hAnsi="Cambria"/>
                <w:sz w:val="20"/>
                <w:color w:val="1c1422"/>
              </w:rPr>
              <w:t xml:space="preserve">$521,000</w:t>
            </w:r>
          </w:p>
        </w:tc>
        <w:tc>
          <w:tcPr>
            <w:tcW w:w="1100" w:type="dxa"/>
            <w:tcMar>
              <w:top w:w="80" w:type="dxa"/>
              <w:bottom w:w="80" w:type="dxa"/>
              <w:left w:w="100" w:type="dxa"/>
              <w:right w:w="100" w:type="dxa"/>
            </w:tcMar>
          </w:tcPr>
          <w:p>
            <w:pPr>
              <w:jc w:val="right"/>
            </w:pPr>
            <w:r>
              <w:rPr>
                <w:rFonts w:ascii="Cambria" w:hAnsi="Cambria"/>
                <w:sz w:val="20"/>
                <w:color w:val="1c1422"/>
              </w:rPr>
              <w:t xml:space="preserve">$514,000</w:t>
            </w:r>
          </w:p>
        </w:tc>
        <w:tc>
          <w:tcPr>
            <w:tcW w:w="1100" w:type="dxa"/>
            <w:tcMar>
              <w:top w:w="80" w:type="dxa"/>
              <w:bottom w:w="80" w:type="dxa"/>
              <w:left w:w="100" w:type="dxa"/>
              <w:right w:w="100" w:type="dxa"/>
            </w:tcMar>
          </w:tcPr>
          <w:p>
            <w:pPr>
              <w:jc w:val="right"/>
            </w:pPr>
            <w:r>
              <w:rPr>
                <w:rFonts w:ascii="Cambria" w:hAnsi="Cambria"/>
                <w:sz w:val="20"/>
                <w:color w:val="1c1422"/>
              </w:rPr>
              <w:t xml:space="preserve">$493,000</w:t>
            </w:r>
          </w:p>
        </w:tc>
        <w:tc>
          <w:tcPr>
            <w:tcW w:w="1100" w:type="dxa"/>
            <w:tcMar>
              <w:top w:w="80" w:type="dxa"/>
              <w:bottom w:w="80" w:type="dxa"/>
              <w:left w:w="100" w:type="dxa"/>
              <w:right w:w="100" w:type="dxa"/>
            </w:tcMar>
          </w:tcPr>
          <w:p>
            <w:pPr>
              <w:jc w:val="right"/>
            </w:pPr>
            <w:r>
              <w:rPr>
                <w:rFonts w:ascii="Cambria" w:hAnsi="Cambria"/>
                <w:sz w:val="20"/>
                <w:color w:val="1c1422"/>
              </w:rPr>
              <w:t xml:space="preserve">$468,000</w:t>
            </w:r>
          </w:p>
        </w:tc>
        <w:tc>
          <w:tcPr>
            <w:tcW w:w="1300" w:type="dxa"/>
            <w:tcMar>
              <w:top w:w="80" w:type="dxa"/>
              <w:bottom w:w="80" w:type="dxa"/>
              <w:left w:w="100" w:type="dxa"/>
              <w:right w:w="100" w:type="dxa"/>
            </w:tcMar>
          </w:tcPr>
          <w:p>
            <w:pPr>
              <w:jc w:val="right"/>
            </w:pPr>
            <w:r>
              <w:rPr>
                <w:rFonts w:ascii="Cambria" w:hAnsi="Cambria"/>
                <w:sz w:val="20"/>
                <w:color w:val="1c1422"/>
              </w:rPr>
              <w:t xml:space="preserve">$2,500,000</w:t>
            </w:r>
          </w:p>
        </w:tc>
      </w:tr>
    </w:tbl>
    <w:p/>
    <w:p>
      <w:pPr>
        <w:spacing w:before="240" w:after="60"/>
      </w:pPr>
      <w:r>
        <w:rPr>
          <w:rFonts w:ascii="Arial" w:hAnsi="Arial"/>
          <w:color w:val="8a6d18"/>
          <w:sz w:val="16"/>
          <w:b/>
          <w:caps/>
          <w:spacing w:val="60"/>
        </w:rPr>
        <w:t xml:space="preserve">Conclusion</w:t>
      </w:r>
    </w:p>
    <w:p>
      <w:pPr>
        <w:spacing w:after="120" w:line="300" w:lineRule="auto"/>
      </w:pPr>
      <w:r>
        <w:rPr>
          <w:rFonts w:ascii="Cambria" w:hAnsi="Cambria"/>
          <w:sz w:val="22"/>
        </w:rPr>
        <w:t xml:space="preserve">This revised budget narrative demonstrates Turner Theological Seminary's commitment to institutional investment, sustainable operational capacity, ecclesial and community engagement, participant-centered Christian formation, and long-term replication of The Turner Model. The budget is balanced annually, holds indirects at a flat 6%, names institutional leadership explicitly, and reflects realistic, defensible allocations across every category aligned to the RFP rubric.</w:t>
      </w:r>
    </w:p>
    <w:sectPr>
      <w:pgSz w:w="12240" w:h="15840"/>
      <w:pgMar w:top="1080" w:right="1080" w:bottom="1080" w:left="108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Arial" w:hAnsi="Arial"/>
        <w:color w:val="C9A22B"/>
      </w:rPr>
    </w:lvl>
  </w:abstractNum>
  <w:num w:numId="1">
    <w:abstractNumId w:val="0"/>
  </w:num>
</w:numbering>
</file>

<file path=word/styles.xml><?xml version="1.0" encoding="utf-8"?>
<w:styles xmlns:w="http://schemas.openxmlformats.org/wordprocessingml/2006/main">
  <w:docDefaults>
    <w:rPrDefault>
      <w:rPr>
        <w:rFonts w:ascii="Cambria" w:hAnsi="Cambria"/>
        <w:sz w:val="22"/>
        <w:color w:val="1c1422"/>
      </w:rPr>
    </w:rPrDefault>
  </w:docDefaults>
  <w:style w:type="paragraph" w:styleId="Heading1">
    <w:name w:val="heading 1"/>
  </w:style>
  <w:style w:type="paragraph" w:styleId="Heading2">
    <w:name w:val="heading 2"/>
  </w:style>
</w:style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s>
</file>